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954405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980440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11-K</w:t>
      </w: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(Mark One)</w:t>
      </w:r>
    </w:p>
    <w:p>
      <w:pPr>
        <w:spacing w:after="0" w:line="122" w:lineRule="exact"/>
        <w:rPr>
          <w:sz w:val="24"/>
          <w:szCs w:val="24"/>
          <w:color w:val="auto"/>
        </w:rPr>
      </w:pPr>
    </w:p>
    <w:p>
      <w:pPr>
        <w:ind w:left="2640" w:right="1999" w:hanging="649"/>
        <w:spacing w:after="0" w:line="226" w:lineRule="auto"/>
        <w:tabs>
          <w:tab w:leader="none" w:pos="2526" w:val="left"/>
        </w:tabs>
        <w:numPr>
          <w:ilvl w:val="0"/>
          <w:numId w:val="1"/>
        </w:numPr>
        <w:rPr>
          <w:rFonts w:ascii="MS PGothic" w:cs="MS PGothic" w:eastAsia="MS PGothic" w:hAnsi="MS PGothic"/>
          <w:sz w:val="29"/>
          <w:szCs w:val="29"/>
          <w:color w:val="auto"/>
        </w:rPr>
      </w:pPr>
      <w:r>
        <w:rPr>
          <w:rFonts w:ascii="Arial" w:cs="Arial" w:eastAsia="Arial" w:hAnsi="Arial"/>
          <w:sz w:val="18"/>
          <w:szCs w:val="18"/>
          <w:color w:val="auto"/>
        </w:rPr>
        <w:t>ANNUAL REPORT PURSUANT TO SECTION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2025</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60" w:lineRule="exact"/>
        <w:rPr>
          <w:sz w:val="24"/>
          <w:szCs w:val="24"/>
          <w:color w:val="auto"/>
        </w:rPr>
      </w:pPr>
    </w:p>
    <w:p>
      <w:pPr>
        <w:ind w:left="2640" w:right="1819" w:hanging="829"/>
        <w:spacing w:after="0" w:line="232" w:lineRule="auto"/>
        <w:tabs>
          <w:tab w:leader="none" w:pos="2346" w:val="left"/>
        </w:tabs>
        <w:numPr>
          <w:ilvl w:val="0"/>
          <w:numId w:val="2"/>
        </w:numPr>
        <w:rPr>
          <w:rFonts w:ascii="MS PGothic" w:cs="MS PGothic" w:eastAsia="MS PGothic" w:hAnsi="MS PGothic"/>
          <w:sz w:val="29"/>
          <w:szCs w:val="29"/>
          <w:color w:val="auto"/>
        </w:rPr>
      </w:pPr>
      <w:r>
        <w:rPr>
          <w:rFonts w:ascii="Arial" w:cs="Arial" w:eastAsia="Arial" w:hAnsi="Arial"/>
          <w:sz w:val="18"/>
          <w:szCs w:val="18"/>
          <w:color w:val="auto"/>
        </w:rPr>
        <w:t>TRANSITION REPORT PURSUANT TO SECTION 15(d) OF THE SECURITIES EXCHANGE ACT OF 1934</w:t>
      </w:r>
    </w:p>
    <w:p>
      <w:pPr>
        <w:spacing w:after="0" w:line="222"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For the transition period from ____________ to ____________</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001-05672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ITT RETIREMENT SAVINGS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-158750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January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-697230</wp:posOffset>
            </wp:positionH>
            <wp:positionV relativeFrom="paragraph">
              <wp:posOffset>17780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B. Name of issuer of the securities held pursuant to the plan and the address of its principal executive office:</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ITT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100 WASHINGTON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STAMFORD, CT 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1407795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546100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-697230</wp:posOffset>
            </wp:positionH>
            <wp:positionV relativeFrom="paragraph">
              <wp:posOffset>572135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PAGE</w:t>
            </w:r>
          </w:p>
        </w:tc>
      </w:tr>
      <w:tr>
        <w:trPr>
          <w:trHeight w:val="462"/>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1</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Statements of Net Assets Available for Benefits as of December 31, 2025 and 2024</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2</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Statement of Changes in Net Assets Available for Benefits for the year ended December 31, 2025</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3</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Notes to Financial Statements:</w:t>
            </w:r>
          </w:p>
        </w:tc>
        <w:tc>
          <w:tcPr>
            <w:tcW w:w="1440" w:type="dxa"/>
            <w:vAlign w:val="bottom"/>
          </w:tcPr>
          <w:p>
            <w:pPr>
              <w:spacing w:after="0"/>
              <w:rPr>
                <w:sz w:val="19"/>
                <w:szCs w:val="19"/>
                <w:color w:val="auto"/>
              </w:rPr>
            </w:pPr>
          </w:p>
        </w:tc>
      </w:tr>
      <w:tr>
        <w:trPr>
          <w:trHeight w:val="229"/>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Note 1 - Description of the Plan</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4</w:t>
            </w:r>
          </w:p>
        </w:tc>
      </w:tr>
      <w:tr>
        <w:trPr>
          <w:trHeight w:val="229"/>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Note 2 - Summary of Significant Accounting Policies</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6</w:t>
            </w:r>
          </w:p>
        </w:tc>
      </w:tr>
      <w:tr>
        <w:trPr>
          <w:trHeight w:val="230"/>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Note 3 - Investments</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7</w:t>
            </w:r>
          </w:p>
        </w:tc>
      </w:tr>
      <w:tr>
        <w:trPr>
          <w:trHeight w:val="229"/>
        </w:trPr>
        <w:tc>
          <w:tcPr>
            <w:tcW w:w="780" w:type="dxa"/>
            <w:vAlign w:val="bottom"/>
          </w:tcPr>
          <w:p>
            <w:pPr>
              <w:ind w:left="220"/>
              <w:spacing w:after="0"/>
              <w:rPr>
                <w:sz w:val="20"/>
                <w:szCs w:val="20"/>
                <w:color w:val="auto"/>
              </w:rPr>
            </w:pPr>
            <w:r>
              <w:rPr>
                <w:rFonts w:ascii="Arial" w:cs="Arial" w:eastAsia="Arial" w:hAnsi="Arial"/>
                <w:sz w:val="18"/>
                <w:szCs w:val="18"/>
                <w:color w:val="auto"/>
              </w:rPr>
              <w:t>Note 4</w:t>
            </w:r>
          </w:p>
        </w:tc>
        <w:tc>
          <w:tcPr>
            <w:tcW w:w="9020" w:type="dxa"/>
            <w:vAlign w:val="bottom"/>
          </w:tcPr>
          <w:p>
            <w:pPr>
              <w:ind w:left="20"/>
              <w:spacing w:after="0"/>
              <w:rPr>
                <w:sz w:val="20"/>
                <w:szCs w:val="20"/>
                <w:color w:val="auto"/>
              </w:rPr>
            </w:pPr>
            <w:r>
              <w:rPr>
                <w:rFonts w:ascii="Arial" w:cs="Arial" w:eastAsia="Arial" w:hAnsi="Arial"/>
                <w:sz w:val="18"/>
                <w:szCs w:val="18"/>
                <w:color w:val="auto"/>
              </w:rPr>
              <w:t>- Party-in-Interest Transactions</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8</w:t>
            </w:r>
          </w:p>
        </w:tc>
      </w:tr>
      <w:tr>
        <w:trPr>
          <w:trHeight w:val="230"/>
        </w:trPr>
        <w:tc>
          <w:tcPr>
            <w:tcW w:w="780" w:type="dxa"/>
            <w:vAlign w:val="bottom"/>
          </w:tcPr>
          <w:p>
            <w:pPr>
              <w:ind w:left="220"/>
              <w:spacing w:after="0"/>
              <w:rPr>
                <w:sz w:val="20"/>
                <w:szCs w:val="20"/>
                <w:color w:val="auto"/>
              </w:rPr>
            </w:pPr>
            <w:r>
              <w:rPr>
                <w:rFonts w:ascii="Arial" w:cs="Arial" w:eastAsia="Arial" w:hAnsi="Arial"/>
                <w:sz w:val="18"/>
                <w:szCs w:val="18"/>
                <w:color w:val="auto"/>
              </w:rPr>
              <w:t>Note 5</w:t>
            </w:r>
          </w:p>
        </w:tc>
        <w:tc>
          <w:tcPr>
            <w:tcW w:w="9020" w:type="dxa"/>
            <w:vAlign w:val="bottom"/>
          </w:tcPr>
          <w:p>
            <w:pPr>
              <w:ind w:left="20"/>
              <w:spacing w:after="0"/>
              <w:rPr>
                <w:sz w:val="20"/>
                <w:szCs w:val="20"/>
                <w:color w:val="auto"/>
              </w:rPr>
            </w:pPr>
            <w:r>
              <w:rPr>
                <w:rFonts w:ascii="Arial" w:cs="Arial" w:eastAsia="Arial" w:hAnsi="Arial"/>
                <w:sz w:val="18"/>
                <w:szCs w:val="18"/>
                <w:color w:val="auto"/>
              </w:rPr>
              <w:t>- Federal Income Tax Status</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8</w:t>
            </w:r>
          </w:p>
        </w:tc>
      </w:tr>
      <w:tr>
        <w:trPr>
          <w:trHeight w:val="229"/>
        </w:trPr>
        <w:tc>
          <w:tcPr>
            <w:tcW w:w="780" w:type="dxa"/>
            <w:vAlign w:val="bottom"/>
          </w:tcPr>
          <w:p>
            <w:pPr>
              <w:ind w:left="220"/>
              <w:spacing w:after="0"/>
              <w:rPr>
                <w:sz w:val="20"/>
                <w:szCs w:val="20"/>
                <w:color w:val="auto"/>
              </w:rPr>
            </w:pPr>
            <w:r>
              <w:rPr>
                <w:rFonts w:ascii="Arial" w:cs="Arial" w:eastAsia="Arial" w:hAnsi="Arial"/>
                <w:sz w:val="18"/>
                <w:szCs w:val="18"/>
                <w:color w:val="auto"/>
              </w:rPr>
              <w:t>Note 6</w:t>
            </w:r>
          </w:p>
        </w:tc>
        <w:tc>
          <w:tcPr>
            <w:tcW w:w="9020" w:type="dxa"/>
            <w:vAlign w:val="bottom"/>
          </w:tcPr>
          <w:p>
            <w:pPr>
              <w:ind w:left="20"/>
              <w:spacing w:after="0"/>
              <w:rPr>
                <w:sz w:val="20"/>
                <w:szCs w:val="20"/>
                <w:color w:val="auto"/>
              </w:rPr>
            </w:pPr>
            <w:r>
              <w:rPr>
                <w:rFonts w:ascii="Arial" w:cs="Arial" w:eastAsia="Arial" w:hAnsi="Arial"/>
                <w:sz w:val="18"/>
                <w:szCs w:val="18"/>
                <w:color w:val="auto"/>
              </w:rPr>
              <w:t>- Reconciliation of Financial Statements to Form 5500</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9</w:t>
            </w:r>
          </w:p>
        </w:tc>
      </w:tr>
      <w:tr>
        <w:trPr>
          <w:trHeight w:val="229"/>
        </w:trPr>
        <w:tc>
          <w:tcPr>
            <w:tcW w:w="780" w:type="dxa"/>
            <w:vAlign w:val="bottom"/>
          </w:tcPr>
          <w:p>
            <w:pPr>
              <w:ind w:left="220"/>
              <w:spacing w:after="0"/>
              <w:rPr>
                <w:sz w:val="20"/>
                <w:szCs w:val="20"/>
                <w:color w:val="auto"/>
              </w:rPr>
            </w:pPr>
            <w:r>
              <w:rPr>
                <w:rFonts w:ascii="Arial" w:cs="Arial" w:eastAsia="Arial" w:hAnsi="Arial"/>
                <w:sz w:val="18"/>
                <w:szCs w:val="18"/>
                <w:color w:val="auto"/>
              </w:rPr>
              <w:t>Note 7</w:t>
            </w:r>
          </w:p>
        </w:tc>
        <w:tc>
          <w:tcPr>
            <w:tcW w:w="9020" w:type="dxa"/>
            <w:vAlign w:val="bottom"/>
          </w:tcPr>
          <w:p>
            <w:pPr>
              <w:ind w:left="20"/>
              <w:spacing w:after="0"/>
              <w:rPr>
                <w:sz w:val="20"/>
                <w:szCs w:val="20"/>
                <w:color w:val="auto"/>
              </w:rPr>
            </w:pPr>
            <w:r>
              <w:rPr>
                <w:rFonts w:ascii="Arial" w:cs="Arial" w:eastAsia="Arial" w:hAnsi="Arial"/>
                <w:sz w:val="18"/>
                <w:szCs w:val="18"/>
                <w:color w:val="auto"/>
              </w:rPr>
              <w:t>- Subsequent Events</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99"/>
              </w:rPr>
              <w:t>9</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Supplemental Schedule:</w:t>
            </w:r>
          </w:p>
        </w:tc>
        <w:tc>
          <w:tcPr>
            <w:tcW w:w="1440" w:type="dxa"/>
            <w:vAlign w:val="bottom"/>
          </w:tcPr>
          <w:p>
            <w:pPr>
              <w:spacing w:after="0"/>
              <w:rPr>
                <w:sz w:val="19"/>
                <w:szCs w:val="19"/>
                <w:color w:val="auto"/>
              </w:rPr>
            </w:pPr>
          </w:p>
        </w:tc>
      </w:tr>
      <w:tr>
        <w:trPr>
          <w:trHeight w:val="229"/>
        </w:trPr>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5500, Schedule H, Part IV, Line 4i - Schedule of Assets (Held at End of Year) as of December 31, 2025</w:t>
            </w:r>
          </w:p>
        </w:tc>
        <w:tc>
          <w:tcPr>
            <w:tcW w:w="1440" w:type="dxa"/>
            <w:vAlign w:val="bottom"/>
          </w:tcPr>
          <w:p>
            <w:pPr>
              <w:jc w:val="center"/>
              <w:ind w:left="671"/>
              <w:spacing w:after="0"/>
              <w:rPr>
                <w:sz w:val="20"/>
                <w:szCs w:val="20"/>
                <w:color w:val="auto"/>
              </w:rPr>
            </w:pPr>
            <w:r>
              <w:rPr>
                <w:rFonts w:ascii="Arial" w:cs="Arial" w:eastAsia="Arial" w:hAnsi="Arial"/>
                <w:sz w:val="18"/>
                <w:szCs w:val="18"/>
                <w:color w:val="auto"/>
                <w:w w:val="99"/>
              </w:rPr>
              <w:t>10</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1440" w:type="dxa"/>
            <w:vAlign w:val="bottom"/>
          </w:tcPr>
          <w:p>
            <w:pPr>
              <w:jc w:val="center"/>
              <w:ind w:left="691"/>
              <w:spacing w:after="0"/>
              <w:rPr>
                <w:sz w:val="20"/>
                <w:szCs w:val="20"/>
                <w:color w:val="auto"/>
              </w:rPr>
            </w:pPr>
            <w:r>
              <w:rPr>
                <w:rFonts w:ascii="Arial" w:cs="Arial" w:eastAsia="Arial" w:hAnsi="Arial"/>
                <w:sz w:val="18"/>
                <w:szCs w:val="18"/>
                <w:color w:val="auto"/>
                <w:w w:val="89"/>
              </w:rPr>
              <w:t>11</w:t>
            </w:r>
          </w:p>
        </w:tc>
      </w:tr>
      <w:tr>
        <w:trPr>
          <w:trHeight w:val="23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Exhibit Index</w:t>
            </w:r>
          </w:p>
        </w:tc>
        <w:tc>
          <w:tcPr>
            <w:tcW w:w="1440" w:type="dxa"/>
            <w:vAlign w:val="bottom"/>
          </w:tcPr>
          <w:p>
            <w:pPr>
              <w:jc w:val="center"/>
              <w:ind w:left="671"/>
              <w:spacing w:after="0"/>
              <w:rPr>
                <w:sz w:val="20"/>
                <w:szCs w:val="20"/>
                <w:color w:val="auto"/>
              </w:rPr>
            </w:pPr>
            <w:r>
              <w:rPr>
                <w:rFonts w:ascii="Arial" w:cs="Arial" w:eastAsia="Arial" w:hAnsi="Arial"/>
                <w:sz w:val="18"/>
                <w:szCs w:val="18"/>
                <w:color w:val="auto"/>
                <w:w w:val="99"/>
              </w:rPr>
              <w:t>12</w:t>
            </w:r>
          </w:p>
        </w:tc>
      </w:tr>
      <w:tr>
        <w:trPr>
          <w:trHeight w:val="266"/>
        </w:trPr>
        <w:tc>
          <w:tcPr>
            <w:tcW w:w="780" w:type="dxa"/>
            <w:vAlign w:val="bottom"/>
            <w:tcBorders>
              <w:bottom w:val="single" w:sz="8" w:color="auto"/>
            </w:tcBorders>
          </w:tcPr>
          <w:p>
            <w:pPr>
              <w:spacing w:after="0"/>
              <w:rPr>
                <w:sz w:val="23"/>
                <w:szCs w:val="23"/>
                <w:color w:val="auto"/>
              </w:rPr>
            </w:pPr>
          </w:p>
        </w:tc>
        <w:tc>
          <w:tcPr>
            <w:tcW w:w="90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Trustees and Participants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the accompanying statements of net assets available for benefits of ITT Retirement Savings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States) ("PCAOB") and are required to be independent with respect to the Plan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supplemental Schedule H, Part IV, Line 4i – Schedule of Assets (Held at End of Year) as of December 31, 2025 has been subjected to audit procedures performed in conjunction with the audit of ITT Retirement Savings Plan’s financial statements. The supplemental schedule is the responsibility of the Plan’s management. Our audit procedures included determining whether the information presented in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 to the financial statements as a whole.</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94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Plan's auditor since 2015</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ITT RETIREMENT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7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investments at fair value</w:t>
            </w:r>
          </w:p>
        </w:tc>
        <w:tc>
          <w:tcPr>
            <w:tcW w:w="2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658,296,684</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588,991,619</w:t>
            </w:r>
          </w:p>
        </w:tc>
      </w:tr>
      <w:tr>
        <w:trPr>
          <w:trHeight w:val="270"/>
        </w:trPr>
        <w:tc>
          <w:tcPr>
            <w:tcW w:w="53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w:t>
            </w:r>
          </w:p>
        </w:tc>
        <w:tc>
          <w:tcPr>
            <w:tcW w:w="27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Notes receivable from participants</w:t>
            </w:r>
          </w:p>
        </w:tc>
        <w:tc>
          <w:tcPr>
            <w:tcW w:w="2700" w:type="dxa"/>
            <w:vAlign w:val="bottom"/>
          </w:tcPr>
          <w:p>
            <w:pPr>
              <w:spacing w:after="0"/>
              <w:rPr>
                <w:sz w:val="19"/>
                <w:szCs w:val="19"/>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11,608,303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11,477,133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Employer contributions</w:t>
            </w:r>
          </w:p>
        </w:tc>
        <w:tc>
          <w:tcPr>
            <w:tcW w:w="27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1,029,586</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1,121,148</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Participant contributions</w:t>
            </w:r>
          </w:p>
        </w:tc>
        <w:tc>
          <w:tcPr>
            <w:tcW w:w="27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901,985</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937,798</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receivables</w:t>
            </w:r>
          </w:p>
        </w:tc>
        <w:tc>
          <w:tcPr>
            <w:tcW w:w="27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13,539,874</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13,536,079</w:t>
            </w:r>
          </w:p>
        </w:tc>
      </w:tr>
      <w:tr>
        <w:trPr>
          <w:trHeight w:val="270"/>
        </w:trPr>
        <w:tc>
          <w:tcPr>
            <w:tcW w:w="53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671,836,558</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602,527,698</w:t>
            </w:r>
          </w:p>
        </w:tc>
      </w:tr>
      <w:tr>
        <w:trPr>
          <w:trHeight w:val="250"/>
        </w:trPr>
        <w:tc>
          <w:tcPr>
            <w:tcW w:w="536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 payable</w:t>
            </w:r>
          </w:p>
        </w:tc>
        <w:tc>
          <w:tcPr>
            <w:tcW w:w="27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(48,960)</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r>
      <w:tr>
        <w:trPr>
          <w:trHeight w:val="270"/>
        </w:trPr>
        <w:tc>
          <w:tcPr>
            <w:tcW w:w="53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2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671,787,598</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602,476,698</w:t>
            </w:r>
          </w:p>
        </w:tc>
      </w:tr>
    </w:tbl>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to the Financial Statements are an integral part of the above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ITT RETIREMENT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 the Year Ended December 31</w:t>
            </w:r>
          </w:p>
        </w:tc>
        <w:tc>
          <w:tcPr>
            <w:tcW w:w="2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attributable to:</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300" w:type="dxa"/>
            <w:vAlign w:val="bottom"/>
          </w:tcPr>
          <w:p>
            <w:pPr>
              <w:ind w:left="120"/>
              <w:spacing w:after="0"/>
              <w:rPr>
                <w:sz w:val="20"/>
                <w:szCs w:val="20"/>
                <w:color w:val="auto"/>
              </w:rPr>
            </w:pPr>
            <w:r>
              <w:rPr>
                <w:rFonts w:ascii="Arial" w:cs="Arial" w:eastAsia="Arial" w:hAnsi="Arial"/>
                <w:sz w:val="18"/>
                <w:szCs w:val="18"/>
                <w:color w:val="auto"/>
              </w:rPr>
              <w:t>Investment activity:</w:t>
            </w:r>
          </w:p>
        </w:tc>
        <w:tc>
          <w:tcPr>
            <w:tcW w:w="2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appreciation in fair value of investments</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83,160,615</w:t>
            </w:r>
          </w:p>
        </w:tc>
      </w:tr>
      <w:tr>
        <w:trPr>
          <w:trHeight w:val="229"/>
        </w:trPr>
        <w:tc>
          <w:tcPr>
            <w:tcW w:w="73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Dividend income</w:t>
            </w:r>
          </w:p>
        </w:tc>
        <w:tc>
          <w:tcPr>
            <w:tcW w:w="2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6,064,062</w:t>
            </w:r>
          </w:p>
        </w:tc>
      </w:tr>
      <w:tr>
        <w:trPr>
          <w:trHeight w:val="223"/>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investment activity</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89,224,677</w:t>
            </w:r>
          </w:p>
        </w:tc>
      </w:tr>
      <w:tr>
        <w:trPr>
          <w:trHeight w:val="270"/>
        </w:trPr>
        <w:tc>
          <w:tcPr>
            <w:tcW w:w="73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 on notes receivable from participants</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891,580</w:t>
            </w:r>
          </w:p>
        </w:tc>
      </w:tr>
      <w:tr>
        <w:trPr>
          <w:trHeight w:val="270"/>
        </w:trPr>
        <w:tc>
          <w:tcPr>
            <w:tcW w:w="73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0"/>
        </w:trPr>
        <w:tc>
          <w:tcPr>
            <w:tcW w:w="7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Contributions:</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300" w:type="dxa"/>
            <w:vAlign w:val="bottom"/>
          </w:tcPr>
          <w:p>
            <w:pPr>
              <w:ind w:left="320"/>
              <w:spacing w:after="0"/>
              <w:rPr>
                <w:sz w:val="20"/>
                <w:szCs w:val="20"/>
                <w:color w:val="auto"/>
              </w:rPr>
            </w:pPr>
            <w:r>
              <w:rPr>
                <w:rFonts w:ascii="Arial" w:cs="Arial" w:eastAsia="Arial" w:hAnsi="Arial"/>
                <w:sz w:val="18"/>
                <w:szCs w:val="18"/>
                <w:color w:val="auto"/>
              </w:rPr>
              <w:t>Participant contributions</w:t>
            </w:r>
          </w:p>
        </w:tc>
        <w:tc>
          <w:tcPr>
            <w:tcW w:w="2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25,449,973</w:t>
            </w:r>
          </w:p>
        </w:tc>
      </w:tr>
      <w:tr>
        <w:trPr>
          <w:trHeight w:val="229"/>
        </w:trPr>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Employer contributions</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17,254,542</w:t>
            </w:r>
          </w:p>
        </w:tc>
      </w:tr>
      <w:tr>
        <w:trPr>
          <w:trHeight w:val="230"/>
        </w:trPr>
        <w:tc>
          <w:tcPr>
            <w:tcW w:w="73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Participant rollover contributions</w:t>
            </w:r>
          </w:p>
        </w:tc>
        <w:tc>
          <w:tcPr>
            <w:tcW w:w="2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4,230,633</w:t>
            </w:r>
          </w:p>
        </w:tc>
      </w:tr>
      <w:tr>
        <w:trPr>
          <w:trHeight w:val="223"/>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contributions</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46,935,148</w:t>
            </w:r>
          </w:p>
        </w:tc>
      </w:tr>
      <w:tr>
        <w:trPr>
          <w:trHeight w:val="270"/>
        </w:trPr>
        <w:tc>
          <w:tcPr>
            <w:tcW w:w="730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additions to net assets</w:t>
            </w:r>
          </w:p>
        </w:tc>
        <w:tc>
          <w:tcPr>
            <w:tcW w:w="26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137,051,405</w:t>
            </w:r>
          </w:p>
        </w:tc>
      </w:tr>
      <w:tr>
        <w:trPr>
          <w:trHeight w:val="250"/>
        </w:trPr>
        <w:tc>
          <w:tcPr>
            <w:tcW w:w="73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attributable to:</w:t>
            </w:r>
          </w:p>
        </w:tc>
        <w:tc>
          <w:tcPr>
            <w:tcW w:w="26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300" w:type="dxa"/>
            <w:vAlign w:val="bottom"/>
          </w:tcPr>
          <w:p>
            <w:pPr>
              <w:ind w:left="240"/>
              <w:spacing w:after="0"/>
              <w:rPr>
                <w:sz w:val="20"/>
                <w:szCs w:val="20"/>
                <w:color w:val="auto"/>
              </w:rPr>
            </w:pPr>
            <w:r>
              <w:rPr>
                <w:rFonts w:ascii="Arial" w:cs="Arial" w:eastAsia="Arial" w:hAnsi="Arial"/>
                <w:sz w:val="18"/>
                <w:szCs w:val="18"/>
                <w:color w:val="auto"/>
              </w:rPr>
              <w:t>Benefits paid to participants</w:t>
            </w:r>
          </w:p>
        </w:tc>
        <w:tc>
          <w:tcPr>
            <w:tcW w:w="2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(66,809,794)</w:t>
            </w:r>
          </w:p>
        </w:tc>
      </w:tr>
      <w:tr>
        <w:trPr>
          <w:trHeight w:val="229"/>
        </w:trPr>
        <w:tc>
          <w:tcPr>
            <w:tcW w:w="73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Administration expense</w:t>
            </w:r>
          </w:p>
        </w:tc>
        <w:tc>
          <w:tcPr>
            <w:tcW w:w="26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(860,866)</w:t>
            </w:r>
          </w:p>
        </w:tc>
      </w:tr>
      <w:tr>
        <w:trPr>
          <w:trHeight w:val="22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deductions from net assets</w:t>
            </w:r>
          </w:p>
        </w:tc>
        <w:tc>
          <w:tcPr>
            <w:tcW w:w="2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(67,670,660)</w:t>
            </w:r>
          </w:p>
        </w:tc>
      </w:tr>
      <w:tr>
        <w:trPr>
          <w:trHeight w:val="250"/>
        </w:trPr>
        <w:tc>
          <w:tcPr>
            <w:tcW w:w="730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change in net assets available for benefits prior to transfer</w:t>
            </w:r>
          </w:p>
        </w:tc>
        <w:tc>
          <w:tcPr>
            <w:tcW w:w="2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69,380,745</w:t>
            </w:r>
          </w:p>
        </w:tc>
      </w:tr>
      <w:tr>
        <w:trPr>
          <w:trHeight w:val="270"/>
        </w:trPr>
        <w:tc>
          <w:tcPr>
            <w:tcW w:w="73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7300" w:type="dxa"/>
            <w:vAlign w:val="bottom"/>
          </w:tcPr>
          <w:p>
            <w:pPr>
              <w:ind w:left="180"/>
              <w:spacing w:after="0"/>
              <w:rPr>
                <w:sz w:val="20"/>
                <w:szCs w:val="20"/>
                <w:color w:val="auto"/>
              </w:rPr>
            </w:pPr>
            <w:r>
              <w:rPr>
                <w:rFonts w:ascii="Arial" w:cs="Arial" w:eastAsia="Arial" w:hAnsi="Arial"/>
                <w:sz w:val="18"/>
                <w:szCs w:val="18"/>
                <w:color w:val="auto"/>
              </w:rPr>
              <w:t>Plan transfer (see Note 1)</w:t>
            </w:r>
          </w:p>
        </w:tc>
        <w:tc>
          <w:tcPr>
            <w:tcW w:w="2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(69,845)</w:t>
            </w:r>
          </w:p>
        </w:tc>
      </w:tr>
      <w:tr>
        <w:trPr>
          <w:trHeight w:val="256"/>
        </w:trPr>
        <w:tc>
          <w:tcPr>
            <w:tcW w:w="7300" w:type="dxa"/>
            <w:vAlign w:val="bottom"/>
            <w:tcBorders>
              <w:bottom w:val="single" w:sz="8" w:color="auto"/>
            </w:tcBorders>
            <w:shd w:val="clear" w:color="auto" w:fill="CCEEFF"/>
          </w:tcPr>
          <w:p>
            <w:pPr>
              <w:spacing w:after="0"/>
              <w:rPr>
                <w:sz w:val="22"/>
                <w:szCs w:val="22"/>
                <w:color w:val="auto"/>
              </w:rPr>
            </w:pPr>
          </w:p>
        </w:tc>
        <w:tc>
          <w:tcPr>
            <w:tcW w:w="26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23"/>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net change in net assets available for benefits</w:t>
            </w:r>
          </w:p>
        </w:tc>
        <w:tc>
          <w:tcPr>
            <w:tcW w:w="2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69,310,900</w:t>
            </w:r>
          </w:p>
        </w:tc>
      </w:tr>
      <w:tr>
        <w:trPr>
          <w:trHeight w:val="237"/>
        </w:trPr>
        <w:tc>
          <w:tcPr>
            <w:tcW w:w="73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available for benefits - beginning of year</w:t>
            </w:r>
          </w:p>
        </w:tc>
        <w:tc>
          <w:tcPr>
            <w:tcW w:w="2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602,476,698</w:t>
            </w:r>
          </w:p>
        </w:tc>
      </w:tr>
      <w:tr>
        <w:trPr>
          <w:trHeight w:val="223"/>
        </w:trPr>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 end of year</w:t>
            </w:r>
          </w:p>
        </w:tc>
        <w:tc>
          <w:tcPr>
            <w:tcW w:w="26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671,787,598</w:t>
            </w:r>
          </w:p>
        </w:tc>
      </w:tr>
    </w:tbl>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to the Financial Statements are an integral part of the above Statement of Changes in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ITT RETIREMENT SAVINGS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2025 and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153" w:lineRule="exact"/>
        <w:rPr>
          <w:sz w:val="20"/>
          <w:szCs w:val="20"/>
          <w:color w:val="auto"/>
        </w:rPr>
      </w:pPr>
    </w:p>
    <w:p>
      <w:pPr>
        <w:jc w:val="both"/>
        <w:ind w:firstLine="246"/>
        <w:spacing w:after="0" w:line="287" w:lineRule="auto"/>
        <w:rPr>
          <w:sz w:val="20"/>
          <w:szCs w:val="20"/>
          <w:color w:val="auto"/>
        </w:rPr>
      </w:pPr>
      <w:r>
        <w:rPr>
          <w:rFonts w:ascii="Arial" w:cs="Arial" w:eastAsia="Arial" w:hAnsi="Arial"/>
          <w:sz w:val="18"/>
          <w:szCs w:val="18"/>
          <w:color w:val="auto"/>
        </w:rPr>
        <w:t>The following description of the ITT Retirement Savings Plan (the "Plan") is provided for general information purposes only. Participants should refer to the Plan document for more complete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5" w:lineRule="exact"/>
        <w:rPr>
          <w:sz w:val="20"/>
          <w:szCs w:val="20"/>
          <w:color w:val="auto"/>
        </w:rPr>
      </w:pPr>
    </w:p>
    <w:p>
      <w:pPr>
        <w:jc w:val="both"/>
        <w:ind w:firstLine="218"/>
        <w:spacing w:after="0" w:line="262" w:lineRule="auto"/>
        <w:rPr>
          <w:sz w:val="20"/>
          <w:szCs w:val="20"/>
          <w:color w:val="auto"/>
        </w:rPr>
      </w:pPr>
      <w:r>
        <w:rPr>
          <w:rFonts w:ascii="Arial" w:cs="Arial" w:eastAsia="Arial" w:hAnsi="Arial"/>
          <w:sz w:val="18"/>
          <w:szCs w:val="18"/>
          <w:color w:val="auto"/>
        </w:rPr>
        <w:t>The Plan is a defined contribution plan covering substantially all U.S. employees of ITT Inc. (the "Company"). The Benefits Administration Committee, consisting of certain executive officers and employees of the Company, controls and manages the operation and administration of the Plan. Empower Trust Company (the "Trustee") is the trustee of the Plan and Empower Retirement serves as the Plan recordkeeper (the "recordkeeper").</w:t>
      </w:r>
    </w:p>
    <w:p>
      <w:pPr>
        <w:spacing w:after="0" w:line="68" w:lineRule="exact"/>
        <w:rPr>
          <w:sz w:val="20"/>
          <w:szCs w:val="20"/>
          <w:color w:val="auto"/>
        </w:rPr>
      </w:pPr>
    </w:p>
    <w:p>
      <w:pPr>
        <w:jc w:val="both"/>
        <w:ind w:right="20" w:firstLine="242"/>
        <w:spacing w:after="0" w:line="287" w:lineRule="auto"/>
        <w:rPr>
          <w:sz w:val="20"/>
          <w:szCs w:val="20"/>
          <w:color w:val="auto"/>
        </w:rPr>
      </w:pPr>
      <w:r>
        <w:rPr>
          <w:rFonts w:ascii="Arial" w:cs="Arial" w:eastAsia="Arial" w:hAnsi="Arial"/>
          <w:sz w:val="18"/>
          <w:szCs w:val="18"/>
          <w:color w:val="auto"/>
        </w:rPr>
        <w:t>The Plan is subject to the provisions of the Employee Retirement Income Security Act of 1974, as amended ("ERISA"), and the Internal Revenue Code ("IRC").</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15" w:lineRule="exact"/>
        <w:rPr>
          <w:sz w:val="20"/>
          <w:szCs w:val="20"/>
          <w:color w:val="auto"/>
        </w:rPr>
      </w:pPr>
    </w:p>
    <w:p>
      <w:pPr>
        <w:jc w:val="both"/>
        <w:ind w:firstLine="299"/>
        <w:spacing w:after="0" w:line="259" w:lineRule="auto"/>
        <w:rPr>
          <w:sz w:val="20"/>
          <w:szCs w:val="20"/>
          <w:color w:val="auto"/>
        </w:rPr>
      </w:pPr>
      <w:r>
        <w:rPr>
          <w:rFonts w:ascii="Arial" w:cs="Arial" w:eastAsia="Arial" w:hAnsi="Arial"/>
          <w:sz w:val="18"/>
          <w:szCs w:val="18"/>
          <w:color w:val="auto"/>
        </w:rPr>
        <w:t>Certain full-time salaried and hourly U.S. and non-U.S. citizen employees of the Company are eligible to participate upon hire in the continental U.S. Certain part-time and temporary U.S. citizen employees are eligible to participate upon completion of one year of service in the continental U.S. One year of service is defined as completion of at least 1,000 hours of service in the continental U.S. in the twelve-month period beginning on the date the employee was hired by the Company, or at least 1,000 hours of service in the course of any calendar year after the calendar year in which the employee was hired.</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Eligible employees are automatically enrolled in the Plan with a pre-tax contribution rate of 6% of eligible pay. As part of the automatic enrollment, employee contribution rates are automatically increased by 1% each year until they reach 15% of eligible pay. If an employee is automatically enrolled in the Plan, they may decline participation in the Plan, change the contribution rate from 6%, or modify the automatic escalation. The following description of the ITT Retirement Savings Plan (the "Plan") is provided for general information purposes only.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 Contributions</w:t>
      </w:r>
    </w:p>
    <w:p>
      <w:pPr>
        <w:spacing w:after="0" w:line="115" w:lineRule="exact"/>
        <w:rPr>
          <w:sz w:val="20"/>
          <w:szCs w:val="20"/>
          <w:color w:val="auto"/>
        </w:rPr>
      </w:pPr>
    </w:p>
    <w:p>
      <w:pPr>
        <w:jc w:val="both"/>
        <w:ind w:firstLine="235"/>
        <w:spacing w:after="0" w:line="262" w:lineRule="auto"/>
        <w:rPr>
          <w:sz w:val="20"/>
          <w:szCs w:val="20"/>
          <w:color w:val="auto"/>
        </w:rPr>
      </w:pPr>
      <w:r>
        <w:rPr>
          <w:rFonts w:ascii="Arial" w:cs="Arial" w:eastAsia="Arial" w:hAnsi="Arial"/>
          <w:sz w:val="18"/>
          <w:szCs w:val="18"/>
          <w:color w:val="auto"/>
        </w:rPr>
        <w:t>Participants are permitted to contribute 1% to 50% of their pre-tax or after-tax eligible pay during each pay period, subject to certain IRC limitations. Eligible pay is defined as base salary and any other compensation, such as overtime, shift differentials, regular commissions, regularly occurring incentive pay and differential wage payments, but does not include the cost of any public or private employee benefit plan, foreign service allowances, special bonuses or commissions, and other special pay or allowances of a similar nature.</w:t>
      </w:r>
    </w:p>
    <w:p>
      <w:pPr>
        <w:spacing w:after="0" w:line="68"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Participants may elect to make pre-tax or after-tax contributions to the Plan and may direct those contributions into any investment option available within the Plan. In 2025, the maximum annual pre-tax contributions to the Plan was $23,500, except for participants who were "catch-up" eligible by December 31, 2025. Participants aged 50 - 59 or 64 and above as December 31, 2025 could elect to make an additional pre-tax "catch-up" contribution, not to exceed $7,500, during the calendar year. Participants aged 60 - 63 as of December 31, 2025 could elect to make an additional pre-tax "catch-up" contribution, not to exceed $11,250, during the calendar year. Participants may also contribute rollover amounts to the Plan representing distributions from other qualified defined benefit or defined contribution plans.</w:t>
      </w:r>
    </w:p>
    <w:p>
      <w:pPr>
        <w:spacing w:after="0" w:line="74" w:lineRule="exact"/>
        <w:rPr>
          <w:sz w:val="20"/>
          <w:szCs w:val="20"/>
          <w:color w:val="auto"/>
        </w:rPr>
      </w:pPr>
    </w:p>
    <w:p>
      <w:pPr>
        <w:jc w:val="both"/>
        <w:ind w:firstLine="308"/>
        <w:spacing w:after="0" w:line="262" w:lineRule="auto"/>
        <w:rPr>
          <w:sz w:val="20"/>
          <w:szCs w:val="20"/>
          <w:color w:val="auto"/>
        </w:rPr>
      </w:pPr>
      <w:r>
        <w:rPr>
          <w:rFonts w:ascii="Arial" w:cs="Arial" w:eastAsia="Arial" w:hAnsi="Arial"/>
          <w:sz w:val="18"/>
          <w:szCs w:val="18"/>
          <w:color w:val="auto"/>
        </w:rPr>
        <w:t>Participants are also able to make Roth 401(k) contributions. Roth 401(k) contributions are made on an after-tax basis. Roth 401(k) contributions are eligible for Company matching contributions. The combined Roth 401(k) and pre-tax 401(k) contributions cannot exceed the annual IRS or Plan limits specified above. Distributions from the Roth 401(k) account are free from income tax, as long as it has been at least five tax years since the participant first made a Roth contribution to the Plan and the participant is at least age 59 1/2.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Employer Contributions</w:t>
      </w:r>
    </w:p>
    <w:p>
      <w:pPr>
        <w:spacing w:after="0" w:line="115" w:lineRule="exact"/>
        <w:rPr>
          <w:sz w:val="20"/>
          <w:szCs w:val="20"/>
          <w:color w:val="auto"/>
        </w:rPr>
      </w:pPr>
    </w:p>
    <w:p>
      <w:pPr>
        <w:jc w:val="both"/>
        <w:ind w:firstLine="221"/>
        <w:spacing w:after="0" w:line="257" w:lineRule="auto"/>
        <w:rPr>
          <w:sz w:val="20"/>
          <w:szCs w:val="20"/>
          <w:color w:val="auto"/>
        </w:rPr>
      </w:pPr>
      <w:r>
        <w:rPr>
          <w:rFonts w:ascii="Arial" w:cs="Arial" w:eastAsia="Arial" w:hAnsi="Arial"/>
          <w:sz w:val="18"/>
          <w:szCs w:val="18"/>
          <w:color w:val="auto"/>
        </w:rPr>
        <w:t>The Company generally makes a "matching" contribution equal to 50% of each participant’s elected contribution, up to 6% of eligible pay, except for unionized employees at the Flow Technologies Seneca Falls facility (formerly the Industrial Process Seneca Falls facility), who are eligible for a "matching" company contribution equal to 100% of each participant's elective contributions, up to 3% of eligible pay. The Company also generally provides a "core" contribution of 3% of eligible pay to participants whose age plus years of service as of January 1st of each year is less than 50 and a "core" contribution equal to 4% of eligible pay to participants whose age plus years of service is 50 or greater. Certain unionized employees at the Flow Technologies Seneca Falls facility are eligible for a "core" contribution of 6% of eligible pay.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 Accounts</w:t>
      </w:r>
    </w:p>
    <w:p>
      <w:pPr>
        <w:spacing w:after="0" w:line="115" w:lineRule="exact"/>
        <w:rPr>
          <w:sz w:val="20"/>
          <w:szCs w:val="20"/>
          <w:color w:val="auto"/>
        </w:rPr>
      </w:pPr>
    </w:p>
    <w:p>
      <w:pPr>
        <w:jc w:val="both"/>
        <w:ind w:firstLine="212"/>
        <w:spacing w:after="0" w:line="262" w:lineRule="auto"/>
        <w:rPr>
          <w:sz w:val="20"/>
          <w:szCs w:val="20"/>
          <w:color w:val="auto"/>
        </w:rPr>
      </w:pPr>
      <w:r>
        <w:rPr>
          <w:rFonts w:ascii="Arial" w:cs="Arial" w:eastAsia="Arial" w:hAnsi="Arial"/>
          <w:sz w:val="18"/>
          <w:szCs w:val="18"/>
          <w:color w:val="auto"/>
        </w:rPr>
        <w:t>Each participant has an individual account, which is maintained by the Plan's recordkeeper, reflective of the participant’s contributions and withdrawals, the Company’s contributions, the participant's share of investment gains and losses based on the participant's investment election, and an allocation of Plan administrative expenses. Plan recordkeeping fees are $11.00 per quarter and administrative fees are $9.00 per quarter. Recordkeeping fees are renegotiated every three years and administrative fees are reviewed annually.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5" w:lineRule="exact"/>
        <w:rPr>
          <w:sz w:val="20"/>
          <w:szCs w:val="20"/>
          <w:color w:val="auto"/>
        </w:rPr>
      </w:pPr>
    </w:p>
    <w:p>
      <w:pPr>
        <w:jc w:val="both"/>
        <w:ind w:firstLine="249"/>
        <w:spacing w:after="0" w:line="256" w:lineRule="auto"/>
        <w:rPr>
          <w:sz w:val="20"/>
          <w:szCs w:val="20"/>
          <w:color w:val="auto"/>
        </w:rPr>
      </w:pPr>
      <w:r>
        <w:rPr>
          <w:rFonts w:ascii="Arial" w:cs="Arial" w:eastAsia="Arial" w:hAnsi="Arial"/>
          <w:sz w:val="18"/>
          <w:szCs w:val="18"/>
          <w:color w:val="auto"/>
        </w:rPr>
        <w:t>Participants direct the investment of their account balance into various investment options offered by the Plan. The Plan currently offers collective trust funds ("CTs"), mutual funds, separate accounts, a separately managed ITT Stock Fund, and a self-directed brokerage account as investment options for participants. The ITT Stock Fund has been designated as an Employee Stock Ownership Plan ("ESOP"). Under the terms of the ESOP, plan participants are given the option to make an election regarding the dividends on all contributions (participant and company) that are invested in the ITT Stock Fund. These dividends, when declared, can either be reinvested in the Plan or paid in cash on a quarterly basis. Participants are allowed to invest a maximum of 20% of their total plan account balance in the ITT Stock Fund. On a daily basis, participants may transfer amounts between investment options subject to certain restrictions and fees.</w:t>
      </w:r>
    </w:p>
    <w:p>
      <w:pPr>
        <w:spacing w:after="0" w:line="75" w:lineRule="exact"/>
        <w:rPr>
          <w:sz w:val="20"/>
          <w:szCs w:val="20"/>
          <w:color w:val="auto"/>
        </w:rPr>
      </w:pPr>
    </w:p>
    <w:p>
      <w:pPr>
        <w:jc w:val="both"/>
        <w:ind w:firstLine="236"/>
        <w:spacing w:after="0" w:line="262" w:lineRule="auto"/>
        <w:rPr>
          <w:sz w:val="20"/>
          <w:szCs w:val="20"/>
          <w:color w:val="auto"/>
        </w:rPr>
      </w:pPr>
      <w:r>
        <w:rPr>
          <w:rFonts w:ascii="Arial" w:cs="Arial" w:eastAsia="Arial" w:hAnsi="Arial"/>
          <w:sz w:val="18"/>
          <w:szCs w:val="18"/>
          <w:color w:val="auto"/>
        </w:rPr>
        <w:t>Participants are entitled to exercise voting rights on the shares of ITT common stock held in the ITT Stock Fund. Prior to each annual or certain special meetings of ITT shareholders, the Trustee is required to notify participants of such voting rights and request instructions on how to vote shares held in the participant accounts. Once instructions are received, the Trustee votes whole and proportional shares as authorized. Shares with no valid voting instructions are voted in the same manner and in the same proportion as the shares that are voted.</w:t>
      </w:r>
    </w:p>
    <w:p>
      <w:pPr>
        <w:spacing w:after="0" w:line="68" w:lineRule="exact"/>
        <w:rPr>
          <w:sz w:val="20"/>
          <w:szCs w:val="20"/>
          <w:color w:val="auto"/>
        </w:rPr>
      </w:pPr>
    </w:p>
    <w:p>
      <w:pPr>
        <w:jc w:val="both"/>
        <w:ind w:firstLine="200"/>
        <w:spacing w:after="0" w:line="268" w:lineRule="auto"/>
        <w:rPr>
          <w:sz w:val="20"/>
          <w:szCs w:val="20"/>
          <w:color w:val="auto"/>
        </w:rPr>
      </w:pPr>
      <w:r>
        <w:rPr>
          <w:rFonts w:ascii="Arial" w:cs="Arial" w:eastAsia="Arial" w:hAnsi="Arial"/>
          <w:sz w:val="18"/>
          <w:szCs w:val="18"/>
          <w:color w:val="auto"/>
        </w:rPr>
        <w:t>Investment securities, in general, are exposed to various risks, such as interest rate risk, credit risk, and overall market volatility. Due to the level of risk associated with certain investment securities held by the Plan, it is reasonably possible that values realized at the time of sale could materially differ from amounts reported in the financial statements and materially affect participants' account balances.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Participants are immediately vested in their contributions and Company contributions, plus actual earnings thereon.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Participants</w:t>
      </w:r>
    </w:p>
    <w:p>
      <w:pPr>
        <w:spacing w:after="0" w:line="115" w:lineRule="exact"/>
        <w:rPr>
          <w:sz w:val="20"/>
          <w:szCs w:val="20"/>
          <w:color w:val="auto"/>
        </w:rPr>
      </w:pPr>
    </w:p>
    <w:p>
      <w:pPr>
        <w:jc w:val="both"/>
        <w:ind w:firstLine="197"/>
        <w:spacing w:after="0" w:line="255" w:lineRule="auto"/>
        <w:rPr>
          <w:sz w:val="20"/>
          <w:szCs w:val="20"/>
          <w:color w:val="auto"/>
        </w:rPr>
      </w:pPr>
      <w:r>
        <w:rPr>
          <w:rFonts w:ascii="Arial" w:cs="Arial" w:eastAsia="Arial" w:hAnsi="Arial"/>
          <w:sz w:val="18"/>
          <w:szCs w:val="18"/>
          <w:color w:val="auto"/>
        </w:rPr>
        <w:t>The Plan allows participants to borrow from their accounts subject to certain limitations. Participants may have up to two loans outstanding at the same time and may borrow in increments of $1,000 up to an aggregate maximum equal to the lesser of $50,000 or 50% of their account balance. The loans are secured by the balance in the participant’s account and accrue interest at a rate equal to prime plus 1%. General purpose loan terms range from one to 60 months. If the loan is used for the purchase of a primary residence, the loan term can be for a period of up to 180 months. Principal and interest are paid ratably through payroll deductions. A terminated participant is permitted to continue making loan repayments after separation and may either pay the loan in full, continue to make loan payments or default. If an active or terminated participant defaults, the outstanding loan balance is considered a taxable distribution. No new loans can be requested after termination of employment. Outstanding loans at December 31, 2025 have interest rates ranging from 4.25% to 9.50% maturing at various dates through 2040.</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Payment of Benefits</w:t>
      </w:r>
    </w:p>
    <w:p>
      <w:pPr>
        <w:spacing w:after="0" w:line="115" w:lineRule="exact"/>
        <w:rPr>
          <w:sz w:val="20"/>
          <w:szCs w:val="20"/>
          <w:color w:val="auto"/>
        </w:rPr>
      </w:pPr>
    </w:p>
    <w:p>
      <w:pPr>
        <w:jc w:val="both"/>
        <w:ind w:firstLine="310"/>
        <w:spacing w:after="0" w:line="256" w:lineRule="auto"/>
        <w:rPr>
          <w:sz w:val="20"/>
          <w:szCs w:val="20"/>
          <w:color w:val="auto"/>
        </w:rPr>
      </w:pPr>
      <w:r>
        <w:rPr>
          <w:rFonts w:ascii="Arial" w:cs="Arial" w:eastAsia="Arial" w:hAnsi="Arial"/>
          <w:sz w:val="18"/>
          <w:szCs w:val="18"/>
          <w:color w:val="auto"/>
        </w:rPr>
        <w:t>Upon termination of employment (including death, disability or retirement), if account balances are $1,000 or less, the participant or surviving beneficiary will receive a lump sum distribution. If account balances are greater than $1,000 but less than or equal to $7,000, and payment is not requested within 90 days following termination, account balances will be rolled over to an Individual Retirement Account ("IRA") in the participant's name at Inspira Financial Trust, LLC. If account balances exceed $7,000, the participant or surviving beneficiary may elect to leave the benefits in the Plan or have the benefits distributed through a lump sum, take installment distributions not to exceed a period longer than his or her life expectancy, or direct a rollover of the account balance to another qualified plan or IRA. Participants reaching age 73 in 2025 must take their first required minimum distribution by April 1, 2026.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Transfer</w:t>
      </w:r>
    </w:p>
    <w:p>
      <w:pPr>
        <w:spacing w:after="0" w:line="11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July 2024, the Company completed the sale of its Wolverine Advanced Materials (Wolverine) business. In connection with the divestiture, residual assets totaling $69,845 were transferred out of the Plan on March 13,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Termination</w:t>
      </w:r>
    </w:p>
    <w:p>
      <w:pPr>
        <w:spacing w:after="0" w:line="115" w:lineRule="exact"/>
        <w:rPr>
          <w:sz w:val="20"/>
          <w:szCs w:val="20"/>
          <w:color w:val="auto"/>
        </w:rPr>
      </w:pPr>
    </w:p>
    <w:p>
      <w:pPr>
        <w:jc w:val="both"/>
        <w:ind w:firstLine="190"/>
        <w:spacing w:after="0" w:line="268" w:lineRule="auto"/>
        <w:rPr>
          <w:sz w:val="20"/>
          <w:szCs w:val="20"/>
          <w:color w:val="auto"/>
        </w:rPr>
      </w:pPr>
      <w:r>
        <w:rPr>
          <w:rFonts w:ascii="Arial" w:cs="Arial" w:eastAsia="Arial" w:hAnsi="Arial"/>
          <w:sz w:val="18"/>
          <w:szCs w:val="18"/>
          <w:color w:val="auto"/>
        </w:rPr>
        <w:t>Although it has not expressed any intention to do so, the Company has the right under the Plan, in certain circumstances, to discontinue its contributions at any time and to terminate the Plan subject to the provisions set forth in ERISA. In the event that the Plan is terminated, participant balances would become immediately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Accounting</w:t>
      </w:r>
    </w:p>
    <w:p>
      <w:pPr>
        <w:spacing w:after="0" w:line="115" w:lineRule="exact"/>
        <w:rPr>
          <w:sz w:val="20"/>
          <w:szCs w:val="20"/>
          <w:color w:val="auto"/>
        </w:rPr>
      </w:pPr>
    </w:p>
    <w:p>
      <w:pPr>
        <w:jc w:val="both"/>
        <w:ind w:firstLine="220"/>
        <w:spacing w:after="0" w:line="287" w:lineRule="auto"/>
        <w:rPr>
          <w:sz w:val="20"/>
          <w:szCs w:val="20"/>
          <w:color w:val="auto"/>
        </w:rPr>
      </w:pPr>
      <w:r>
        <w:rPr>
          <w:rFonts w:ascii="Arial" w:cs="Arial" w:eastAsia="Arial" w:hAnsi="Arial"/>
          <w:sz w:val="18"/>
          <w:szCs w:val="18"/>
          <w:color w:val="auto"/>
        </w:rPr>
        <w:t>The accompanying financial statements have been prepared on the accrual basis of accounting, in accordance with accounting principles generally accepted in the United States of America ("GAAP").</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5" w:lineRule="exact"/>
        <w:rPr>
          <w:sz w:val="20"/>
          <w:szCs w:val="20"/>
          <w:color w:val="auto"/>
        </w:rPr>
      </w:pPr>
    </w:p>
    <w:p>
      <w:pPr>
        <w:jc w:val="both"/>
        <w:ind w:firstLine="209"/>
        <w:spacing w:after="0" w:line="28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and changes therein. Actual results could differ from those estimates.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Valuation and Income Recognition</w:t>
      </w:r>
    </w:p>
    <w:p>
      <w:pPr>
        <w:spacing w:after="0" w:line="115" w:lineRule="exact"/>
        <w:rPr>
          <w:sz w:val="20"/>
          <w:szCs w:val="20"/>
          <w:color w:val="auto"/>
        </w:rPr>
      </w:pPr>
    </w:p>
    <w:p>
      <w:pPr>
        <w:jc w:val="both"/>
        <w:ind w:firstLine="197"/>
        <w:spacing w:after="0" w:line="287" w:lineRule="auto"/>
        <w:rPr>
          <w:sz w:val="20"/>
          <w:szCs w:val="20"/>
          <w:color w:val="auto"/>
        </w:rPr>
      </w:pPr>
      <w:r>
        <w:rPr>
          <w:rFonts w:ascii="Arial" w:cs="Arial" w:eastAsia="Arial" w:hAnsi="Arial"/>
          <w:sz w:val="18"/>
          <w:szCs w:val="18"/>
          <w:color w:val="auto"/>
        </w:rPr>
        <w:t>The Plan’s investments are all stated at fair value. Fair value is the price that would be received to sell an asset or paid to transfer a liability in an orderly transaction between market participants at the measurement date.</w:t>
      </w:r>
    </w:p>
    <w:p>
      <w:pPr>
        <w:spacing w:after="0" w:line="45" w:lineRule="exact"/>
        <w:rPr>
          <w:sz w:val="20"/>
          <w:szCs w:val="20"/>
          <w:color w:val="auto"/>
        </w:rPr>
      </w:pPr>
    </w:p>
    <w:p>
      <w:pPr>
        <w:jc w:val="both"/>
        <w:ind w:firstLine="20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 income is recorded on the ex-dividend date. The net appreciation (depreciation) in fair value of investments includes both realized gains (losses) and unrealized appreciation (depreciation).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Participants</w:t>
      </w:r>
    </w:p>
    <w:p>
      <w:pPr>
        <w:spacing w:after="0" w:line="115" w:lineRule="exact"/>
        <w:rPr>
          <w:sz w:val="20"/>
          <w:szCs w:val="20"/>
          <w:color w:val="auto"/>
        </w:rPr>
      </w:pPr>
    </w:p>
    <w:p>
      <w:pPr>
        <w:jc w:val="both"/>
        <w:ind w:firstLine="236"/>
        <w:spacing w:after="0" w:line="262"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interest. Delinquent participant loans are reclassified as distributions based upon the terms of the Plan document. The financial statements include the delinquent loan balances until specifically written off. Form 5500 reflects the delinquent loans as distributions. See Note 6 for a reconciliation of the Plan's financial statements to Form 5500.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Expenses and Investment Provider Fees</w:t>
      </w:r>
    </w:p>
    <w:p>
      <w:pPr>
        <w:spacing w:after="0" w:line="115" w:lineRule="exact"/>
        <w:rPr>
          <w:sz w:val="20"/>
          <w:szCs w:val="20"/>
          <w:color w:val="auto"/>
        </w:rPr>
      </w:pPr>
    </w:p>
    <w:p>
      <w:pPr>
        <w:jc w:val="both"/>
        <w:ind w:firstLine="254"/>
        <w:spacing w:after="0" w:line="268" w:lineRule="auto"/>
        <w:rPr>
          <w:sz w:val="20"/>
          <w:szCs w:val="20"/>
          <w:color w:val="auto"/>
        </w:rPr>
      </w:pPr>
      <w:r>
        <w:rPr>
          <w:rFonts w:ascii="Arial" w:cs="Arial" w:eastAsia="Arial" w:hAnsi="Arial"/>
          <w:sz w:val="18"/>
          <w:szCs w:val="18"/>
          <w:color w:val="auto"/>
        </w:rPr>
        <w:t>Plan administration fees charged to the Plan for investments in mutual funds, separate accounts and CTs are paid by participants via a quarterly administrative fee. Investment provider fees are paid from the assets of the plan and allocated to each participant based on the participant's choice of investments.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Benefits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Benefit payments to participants are recorded upon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9" w:lineRule="exact"/>
        <w:rPr>
          <w:sz w:val="20"/>
          <w:szCs w:val="20"/>
          <w:color w:val="auto"/>
        </w:rPr>
      </w:pPr>
    </w:p>
    <w:p>
      <w:pPr>
        <w:jc w:val="both"/>
        <w:ind w:firstLine="248"/>
        <w:spacing w:after="0" w:line="262" w:lineRule="auto"/>
        <w:rPr>
          <w:sz w:val="20"/>
          <w:szCs w:val="20"/>
          <w:color w:val="auto"/>
        </w:rPr>
      </w:pPr>
      <w:r>
        <w:rPr>
          <w:rFonts w:ascii="Arial" w:cs="Arial" w:eastAsia="Arial" w:hAnsi="Arial"/>
          <w:sz w:val="18"/>
          <w:szCs w:val="18"/>
          <w:color w:val="auto"/>
        </w:rPr>
        <w:t>In measuring plan assets at fair value, a fair value hierarchy is applied which categorizes and prioritizes the inputs used to estimate fair value into three levels. 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 The three levels of the fair value hierarchy are defined as follows:</w:t>
      </w:r>
    </w:p>
    <w:p>
      <w:pPr>
        <w:spacing w:after="0" w:line="68" w:lineRule="exact"/>
        <w:rPr>
          <w:sz w:val="20"/>
          <w:szCs w:val="20"/>
          <w:color w:val="auto"/>
        </w:rPr>
      </w:pPr>
    </w:p>
    <w:p>
      <w:pPr>
        <w:ind w:left="480" w:hanging="31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jc w:val="both"/>
        <w:ind w:left="500" w:hanging="330"/>
        <w:spacing w:after="0" w:line="262"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500" w:hanging="330"/>
        <w:spacing w:after="0" w:line="287"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 The Plan did not have any investments classified as Level 3 as of December 31, 2025 or 2024.</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to measure Plan assets at fair value as of the measurement date.</w:t>
      </w:r>
    </w:p>
    <w:p>
      <w:pPr>
        <w:spacing w:after="0" w:line="117"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Collective Trust Funds ("CTs") - Fair value is estimated based on net asset value ("NAV"), as provided by the Trustee, as a proxy to fair value. There are no unfunded commitments related to the CTs and investments in CTs can be redeemed on a daily basis without restriction and are not subject to redemption notification provisions.</w:t>
      </w:r>
    </w:p>
    <w:p>
      <w:pPr>
        <w:spacing w:after="0" w:line="6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Separate Accounts - The fair value of accumulation units held in separate accounts offered under a guaranteed annuity contract that the Plan participates in are based on the NAV reported by the fund managers as of the financial statement dates and recent transaction prices. The JPMorgan Large Cap Growth Fund Separate Account invests wholly in the JPMorgan Large Cap Growth Fund, which seeks long-term capital appreciation by investing in large-cap U.S. growth equities while controlling risk. The separate account provides for daily redemptions by the Plan with no advance notice requirement and has a redemption price determined by the fund’s accumulation unit value.</w:t>
      </w:r>
    </w:p>
    <w:p>
      <w:pPr>
        <w:spacing w:after="0" w:line="74"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Mutual funds - Valued at quoted market prices that represent the NAV of shares held by the Plan at the measurement date. Mutual funds are classified within level 1 of the fair value hierarchy.</w:t>
      </w:r>
    </w:p>
    <w:p>
      <w:pPr>
        <w:spacing w:after="0" w:line="45"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Separately managed account - Valued based on underlying assets, which consist of cash equivalents and employer stock held directly by the Plan.</w:t>
      </w:r>
    </w:p>
    <w:p>
      <w:pPr>
        <w:spacing w:after="0" w:line="45" w:lineRule="exact"/>
        <w:rPr>
          <w:sz w:val="20"/>
          <w:szCs w:val="20"/>
          <w:color w:val="auto"/>
        </w:rPr>
      </w:pPr>
    </w:p>
    <w:p>
      <w:pPr>
        <w:ind w:left="820" w:hanging="326"/>
        <w:spacing w:after="0" w:line="287"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are valued at NAV of shares held by the Plan at the measurement date. These are classified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of the fair value hierarchy.</w:t>
      </w:r>
    </w:p>
    <w:p>
      <w:pPr>
        <w:spacing w:after="0" w:line="44" w:lineRule="exact"/>
        <w:rPr>
          <w:rFonts w:ascii="Arial" w:cs="Arial" w:eastAsia="Arial" w:hAnsi="Arial"/>
          <w:sz w:val="18"/>
          <w:szCs w:val="18"/>
          <w:i w:val="1"/>
          <w:iCs w:val="1"/>
          <w:color w:val="auto"/>
        </w:rPr>
      </w:pPr>
    </w:p>
    <w:p>
      <w:pPr>
        <w:jc w:val="both"/>
        <w:ind w:left="820" w:hanging="326"/>
        <w:spacing w:after="0" w:line="257" w:lineRule="auto"/>
        <w:tabs>
          <w:tab w:leader="none" w:pos="8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Employer stock </w:t>
      </w:r>
      <w:r>
        <w:rPr>
          <w:rFonts w:ascii="Arial" w:cs="Arial" w:eastAsia="Arial" w:hAnsi="Arial"/>
          <w:sz w:val="18"/>
          <w:szCs w:val="18"/>
          <w:color w:val="auto"/>
        </w:rPr>
        <w:t>- The ITT Stock Fund is a separately managed account that invests primarily in ITT's common stock. The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the New York Stock Exchange ("NYSE") under the ticker symbol ITT and is valued at its quoted price. The NAV of the stock fund is computed based on the closing price of the common stock reported by the NYSE at the measurement date, plus the NAV of the short-term money market included in the stock fund, plus any receivables or payables, divided by the number of units outstanding. The employer stock portion of the fund is classified within level 1 of the fair value hierarchy and the remaining portion is classified within level 2.</w:t>
      </w:r>
    </w:p>
    <w:p>
      <w:pPr>
        <w:spacing w:after="0" w:line="74" w:lineRule="exact"/>
        <w:rPr>
          <w:sz w:val="20"/>
          <w:szCs w:val="20"/>
          <w:color w:val="auto"/>
        </w:rPr>
      </w:pPr>
    </w:p>
    <w:p>
      <w:pPr>
        <w:ind w:left="500" w:right="20"/>
        <w:spacing w:after="0" w:line="318" w:lineRule="auto"/>
        <w:rPr>
          <w:sz w:val="20"/>
          <w:szCs w:val="20"/>
          <w:color w:val="auto"/>
        </w:rPr>
      </w:pPr>
      <w:r>
        <w:rPr>
          <w:rFonts w:ascii="Arial" w:cs="Arial" w:eastAsia="Arial" w:hAnsi="Arial"/>
          <w:sz w:val="17"/>
          <w:szCs w:val="17"/>
          <w:color w:val="auto"/>
        </w:rPr>
        <w:t>Brokerage account - Securities held in the self-directed brokerage account are valued at the closing price reported on the major market on which the individual securities are traded at the measurement date. These are classified within level 1 of the fair value hierarchy.</w:t>
      </w:r>
    </w:p>
    <w:p>
      <w:pPr>
        <w:spacing w:after="0" w:line="22"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valuation methods described above may produce a fair value measurement that may not be indicative of net realizable value or reflective of future fair values. There have been no changes in the methodologies used as of December 31, 2025 and 2024. Furthermore, while the Plan believes its valuation methods are appropriate and consistent with other market participants, the use of different methodologies or assumptions to determine the fair value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 w:name="page10"/>
    <w:bookmarkEnd w:id="9"/>
    <w:p>
      <w:pPr>
        <w:ind w:right="20" w:firstLine="324"/>
        <w:spacing w:after="0" w:line="287" w:lineRule="auto"/>
        <w:rPr>
          <w:sz w:val="20"/>
          <w:szCs w:val="20"/>
          <w:color w:val="auto"/>
        </w:rPr>
      </w:pPr>
      <w:r>
        <w:rPr>
          <w:rFonts w:ascii="Arial" w:cs="Arial" w:eastAsia="Arial" w:hAnsi="Arial"/>
          <w:sz w:val="18"/>
          <w:szCs w:val="18"/>
          <w:color w:val="auto"/>
        </w:rPr>
        <w:t>The following tables present the major categories of Plan assets measured at fair value by classification within the fair value hierarchy, as of December 31, 2025 and 2024: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520" w:type="dxa"/>
            <w:vAlign w:val="bottom"/>
            <w:gridSpan w:val="2"/>
          </w:tcPr>
          <w:p>
            <w:pPr>
              <w:jc w:val="right"/>
              <w:ind w:right="10"/>
              <w:spacing w:after="0"/>
              <w:rPr>
                <w:sz w:val="20"/>
                <w:szCs w:val="20"/>
                <w:color w:val="auto"/>
              </w:rPr>
            </w:pPr>
            <w:r>
              <w:rPr>
                <w:rFonts w:ascii="Arial" w:cs="Arial" w:eastAsia="Arial" w:hAnsi="Arial"/>
                <w:sz w:val="16"/>
                <w:szCs w:val="16"/>
                <w:color w:val="auto"/>
              </w:rPr>
              <w:t>Quoted Prices in Active</w:t>
            </w:r>
          </w:p>
        </w:tc>
        <w:tc>
          <w:tcPr>
            <w:tcW w:w="2060" w:type="dxa"/>
            <w:vAlign w:val="bottom"/>
            <w:gridSpan w:val="2"/>
          </w:tcPr>
          <w:p>
            <w:pPr>
              <w:ind w:left="360"/>
              <w:spacing w:after="0"/>
              <w:rPr>
                <w:sz w:val="20"/>
                <w:szCs w:val="20"/>
                <w:color w:val="auto"/>
              </w:rPr>
            </w:pPr>
            <w:r>
              <w:rPr>
                <w:rFonts w:ascii="Arial" w:cs="Arial" w:eastAsia="Arial" w:hAnsi="Arial"/>
                <w:sz w:val="16"/>
                <w:szCs w:val="16"/>
                <w:color w:val="auto"/>
              </w:rPr>
              <w:t>Significant Other</w:t>
            </w: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520" w:type="dxa"/>
            <w:vAlign w:val="bottom"/>
            <w:gridSpan w:val="2"/>
          </w:tcPr>
          <w:p>
            <w:pPr>
              <w:jc w:val="right"/>
              <w:ind w:right="110"/>
              <w:spacing w:after="0" w:line="162" w:lineRule="exact"/>
              <w:rPr>
                <w:sz w:val="20"/>
                <w:szCs w:val="20"/>
                <w:color w:val="auto"/>
              </w:rPr>
            </w:pPr>
            <w:r>
              <w:rPr>
                <w:rFonts w:ascii="Arial" w:cs="Arial" w:eastAsia="Arial" w:hAnsi="Arial"/>
                <w:sz w:val="16"/>
                <w:szCs w:val="16"/>
                <w:color w:val="auto"/>
              </w:rPr>
              <w:t>Markets for Identical</w:t>
            </w:r>
          </w:p>
        </w:tc>
        <w:tc>
          <w:tcPr>
            <w:tcW w:w="2060" w:type="dxa"/>
            <w:vAlign w:val="bottom"/>
            <w:gridSpan w:val="2"/>
          </w:tcPr>
          <w:p>
            <w:pPr>
              <w:jc w:val="right"/>
              <w:ind w:right="111"/>
              <w:spacing w:after="0" w:line="162" w:lineRule="exact"/>
              <w:rPr>
                <w:sz w:val="20"/>
                <w:szCs w:val="20"/>
                <w:color w:val="auto"/>
              </w:rPr>
            </w:pPr>
            <w:r>
              <w:rPr>
                <w:rFonts w:ascii="Arial" w:cs="Arial" w:eastAsia="Arial" w:hAnsi="Arial"/>
                <w:sz w:val="16"/>
                <w:szCs w:val="16"/>
                <w:color w:val="auto"/>
              </w:rPr>
              <w:t>Observable Inputs (Level</w:t>
            </w:r>
          </w:p>
        </w:tc>
        <w:tc>
          <w:tcPr>
            <w:tcW w:w="460" w:type="dxa"/>
            <w:vAlign w:val="bottom"/>
          </w:tcPr>
          <w:p>
            <w:pPr>
              <w:spacing w:after="0"/>
              <w:rPr>
                <w:sz w:val="14"/>
                <w:szCs w:val="14"/>
                <w:color w:val="auto"/>
              </w:rPr>
            </w:pPr>
          </w:p>
        </w:tc>
        <w:tc>
          <w:tcPr>
            <w:tcW w:w="1280" w:type="dxa"/>
            <w:vAlign w:val="bottom"/>
            <w:vMerge w:val="restart"/>
          </w:tcPr>
          <w:p>
            <w:pPr>
              <w:jc w:val="right"/>
              <w:ind w:right="691"/>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9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2"/>
          </w:tcPr>
          <w:p>
            <w:pPr>
              <w:ind w:left="1000"/>
              <w:spacing w:after="0"/>
              <w:rPr>
                <w:sz w:val="20"/>
                <w:szCs w:val="20"/>
                <w:color w:val="auto"/>
              </w:rPr>
            </w:pPr>
            <w:r>
              <w:rPr>
                <w:rFonts w:ascii="Arial" w:cs="Arial" w:eastAsia="Arial" w:hAnsi="Arial"/>
                <w:sz w:val="16"/>
                <w:szCs w:val="16"/>
                <w:color w:val="auto"/>
              </w:rPr>
              <w:t>Assets (Level 1)</w:t>
            </w:r>
          </w:p>
        </w:tc>
        <w:tc>
          <w:tcPr>
            <w:tcW w:w="6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931"/>
              <w:spacing w:after="0"/>
              <w:rPr>
                <w:sz w:val="20"/>
                <w:szCs w:val="20"/>
                <w:color w:val="auto"/>
              </w:rPr>
            </w:pPr>
            <w:r>
              <w:rPr>
                <w:rFonts w:ascii="Arial" w:cs="Arial" w:eastAsia="Arial" w:hAnsi="Arial"/>
                <w:sz w:val="16"/>
                <w:szCs w:val="16"/>
                <w:color w:val="auto"/>
              </w:rPr>
              <w:t>2)</w:t>
            </w:r>
          </w:p>
        </w:tc>
        <w:tc>
          <w:tcPr>
            <w:tcW w:w="4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 - December 31, 2025:</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line="230" w:lineRule="exact"/>
              <w:rPr>
                <w:sz w:val="20"/>
                <w:szCs w:val="20"/>
                <w:color w:val="auto"/>
              </w:rPr>
            </w:pPr>
            <w:r>
              <w:rPr>
                <w:rFonts w:ascii="Arial" w:cs="Arial" w:eastAsia="Arial" w:hAnsi="Arial"/>
                <w:sz w:val="18"/>
                <w:szCs w:val="18"/>
                <w:color w:val="auto"/>
              </w:rPr>
              <w:t>CTs</w:t>
            </w:r>
            <w:r>
              <w:rPr>
                <w:rFonts w:ascii="Arial" w:cs="Arial" w:eastAsia="Arial" w:hAnsi="Arial"/>
                <w:sz w:val="23"/>
                <w:szCs w:val="23"/>
                <w:color w:val="auto"/>
                <w:vertAlign w:val="superscript"/>
              </w:rPr>
              <w:t>(a)</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489,312,651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Mutual funds</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145,412,240</w:t>
            </w: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145,412,240</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line="230" w:lineRule="exact"/>
              <w:rPr>
                <w:sz w:val="20"/>
                <w:szCs w:val="20"/>
                <w:color w:val="auto"/>
              </w:rPr>
            </w:pPr>
            <w:r>
              <w:rPr>
                <w:rFonts w:ascii="Arial" w:cs="Arial" w:eastAsia="Arial" w:hAnsi="Arial"/>
                <w:sz w:val="18"/>
                <w:szCs w:val="18"/>
                <w:color w:val="auto"/>
              </w:rPr>
              <w:t>Separately managed account</w:t>
            </w:r>
            <w:r>
              <w:rPr>
                <w:rFonts w:ascii="Arial" w:cs="Arial" w:eastAsia="Arial" w:hAnsi="Arial"/>
                <w:sz w:val="23"/>
                <w:szCs w:val="23"/>
                <w:color w:val="auto"/>
                <w:vertAlign w:val="superscript"/>
              </w:rPr>
              <w:t>(b)</w:t>
            </w:r>
          </w:p>
        </w:tc>
        <w:tc>
          <w:tcPr>
            <w:tcW w:w="1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17,363,840</w:t>
            </w:r>
          </w:p>
        </w:tc>
        <w:tc>
          <w:tcPr>
            <w:tcW w:w="68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252,493</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17,616,333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Self-directed brokerage account</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3,282,723</w:t>
            </w: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3,282,723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Separate accounts</w:t>
            </w:r>
            <w:r>
              <w:rPr>
                <w:rFonts w:ascii="Arial" w:cs="Arial" w:eastAsia="Arial" w:hAnsi="Arial"/>
                <w:sz w:val="23"/>
                <w:szCs w:val="23"/>
                <w:color w:val="auto"/>
                <w:vertAlign w:val="superscript"/>
              </w:rPr>
              <w:t>(a)</w:t>
            </w:r>
          </w:p>
        </w:tc>
        <w:tc>
          <w:tcPr>
            <w:tcW w:w="1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2,672,737</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 - December 31, 2025</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166,058,803</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252,493</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658,296,684</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Investments at fair value - December 31, 2024:</w:t>
            </w:r>
          </w:p>
        </w:tc>
        <w:tc>
          <w:tcPr>
            <w:tcW w:w="1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CTs</w:t>
            </w:r>
            <w:r>
              <w:rPr>
                <w:rFonts w:ascii="Arial" w:cs="Arial" w:eastAsia="Arial" w:hAnsi="Arial"/>
                <w:sz w:val="23"/>
                <w:szCs w:val="23"/>
                <w:color w:val="auto"/>
                <w:vertAlign w:val="superscript"/>
              </w:rPr>
              <w:t>(a)</w:t>
            </w: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440,544,904</w:t>
            </w: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129,896,104</w:t>
            </w:r>
          </w:p>
        </w:tc>
        <w:tc>
          <w:tcPr>
            <w:tcW w:w="680" w:type="dxa"/>
            <w:vAlign w:val="bottom"/>
          </w:tcPr>
          <w:p>
            <w:pPr>
              <w:spacing w:after="0"/>
              <w:rPr>
                <w:sz w:val="19"/>
                <w:szCs w:val="19"/>
                <w:color w:val="auto"/>
              </w:rPr>
            </w:pPr>
          </w:p>
        </w:tc>
        <w:tc>
          <w:tcPr>
            <w:tcW w:w="13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129,896,104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Separately managed account</w:t>
            </w:r>
            <w:r>
              <w:rPr>
                <w:rFonts w:ascii="Arial" w:cs="Arial" w:eastAsia="Arial" w:hAnsi="Arial"/>
                <w:sz w:val="23"/>
                <w:szCs w:val="23"/>
                <w:color w:val="auto"/>
                <w:vertAlign w:val="superscript"/>
              </w:rPr>
              <w:t>(b)</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15,021,403</w:t>
            </w:r>
          </w:p>
        </w:tc>
        <w:tc>
          <w:tcPr>
            <w:tcW w:w="6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133,220</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15,154,623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Self-directed brokerage account</w:t>
            </w:r>
          </w:p>
        </w:tc>
        <w:tc>
          <w:tcPr>
            <w:tcW w:w="1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3,395,988</w:t>
            </w: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3,395,988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 - December 31, 2024</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148,313,495</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133,220</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588,991,619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20" w:hanging="332"/>
        <w:spacing w:after="0" w:line="304" w:lineRule="auto"/>
        <w:tabs>
          <w:tab w:leader="none" w:pos="441" w:val="left"/>
        </w:tabs>
        <w:numPr>
          <w:ilvl w:val="0"/>
          <w:numId w:val="5"/>
        </w:numPr>
        <w:rPr>
          <w:rFonts w:ascii="Arial" w:cs="Arial" w:eastAsia="Arial" w:hAnsi="Arial"/>
          <w:sz w:val="16"/>
          <w:szCs w:val="16"/>
          <w:color w:val="auto"/>
        </w:rPr>
      </w:pPr>
      <w:r>
        <w:rPr>
          <w:rFonts w:ascii="Arial" w:cs="Arial" w:eastAsia="Arial" w:hAnsi="Arial"/>
          <w:sz w:val="16"/>
          <w:szCs w:val="16"/>
          <w:color w:val="auto"/>
        </w:rPr>
        <w:t>CTs and Separate Accounts are valued at NAV and therefore are not classified within the fair value hierarchy, but are included in the totals column to assist in reconciling to the Statements of Net Assets Available for Benefits.</w:t>
      </w:r>
    </w:p>
    <w:p>
      <w:pPr>
        <w:spacing w:after="0" w:line="46" w:lineRule="exact"/>
        <w:rPr>
          <w:rFonts w:ascii="Arial" w:cs="Arial" w:eastAsia="Arial" w:hAnsi="Arial"/>
          <w:sz w:val="16"/>
          <w:szCs w:val="16"/>
          <w:color w:val="auto"/>
        </w:rPr>
      </w:pPr>
    </w:p>
    <w:p>
      <w:pPr>
        <w:ind w:left="340" w:right="20" w:hanging="332"/>
        <w:spacing w:after="0" w:line="286" w:lineRule="auto"/>
        <w:tabs>
          <w:tab w:leader="none" w:pos="44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separately managed account balances at the 2025 and 2024 measurement dates identified as level 1 assets represent ITT common stock and level 2 assets represent cash and cash equivalents held within the employer stock fund.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PARTY-IN-INTEREST TRANSACTIONS</w:t>
      </w:r>
    </w:p>
    <w:p>
      <w:pPr>
        <w:spacing w:after="0" w:line="99"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Participant loans qualify as party-in-interest transactions and amounted to $11,608,303 and $11,477,133 as of December 31, 2025 and 2024, respectively.</w:t>
      </w:r>
    </w:p>
    <w:p>
      <w:pPr>
        <w:spacing w:after="0" w:line="4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Plan held $17,363,840 and $15,021,403 of the Company’s stock in the ITT Stock Fund as of December 31, 2025 and 2024, respectively. In 2025, the net appreciation in the ITT Stock Fund was $3,107,297 and the Plan received Company stock dividends totaling $143,277. Transactions in the Company's common stock also qualify as party in interest transactions. For the year ended December 31, 2025, the Plan purchased, on behalf of participants, $435,286 and sold $1,204,011 of the Company's common stock.</w:t>
      </w:r>
    </w:p>
    <w:p>
      <w:pPr>
        <w:spacing w:after="0" w:line="6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Plan holds a money market fund, a collective trust, a separate and various mutual funds (held within and outside of the self-directed brokerage accounts) that are managed by certain affiliates of Empower Annuity Insurance Company, trustee of the Plan.</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fees were paid by the Plan directly and indirectly to Empower Retirement for investment management and custodial services.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fees qualify as party-in-interest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STATUS</w:t>
      </w:r>
    </w:p>
    <w:p>
      <w:pPr>
        <w:spacing w:after="0" w:line="9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The IRS has determined and informed the Company by a letter dated July 6, 2017, that the Plan and related trust were designed in accordance with the applicable regulations of the IRC. The Plan has since been amended and restated but the Company and Plan management believe that the Plan is currently designed and operated in compliance with the applicable requirements of the IRC, and the Plan and related trust continue to be tax-exempt.</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evaluates tax positions taken by the Plan and recognizes a tax liability if the Plan has taken an uncertain position that more likely than not would not be sustained upon examination by the IRS. The Plan administrator has analyzed the tax positions taken by the Plan, and has concluded that as of December 31, 2025 and 2024, there were no uncertain positions taken or expected to be taken that would require recognition of a liability or disclosure in the financial statements. The Plan is no longer subject to tax examinations for years prior to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FINANCIAL STATEMENTS TO FORM 5500</w:t>
      </w:r>
    </w:p>
    <w:p>
      <w:pPr>
        <w:spacing w:after="0" w:line="9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following is a reconciliation of net assets available for benefits reflected in the financial statements to the Plan’s Form 5500 as of December 31, 2025 and 2024, respectively, and the net change in net assets pursuant to the financial statements to the Plan’s Form 5500 for the year end December 31,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pursuant to the financial statements</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671,787,598</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602,476,698</w:t>
            </w:r>
          </w:p>
        </w:tc>
      </w:tr>
      <w:tr>
        <w:trPr>
          <w:trHeight w:val="229"/>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Amounts deemed distributed for tax purposes</w:t>
            </w:r>
          </w:p>
        </w:tc>
        <w:tc>
          <w:tcPr>
            <w:tcW w:w="1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(1,754,752)</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(1,438,970)</w:t>
            </w:r>
          </w:p>
        </w:tc>
      </w:tr>
      <w:tr>
        <w:trPr>
          <w:trHeight w:val="223"/>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pursuant to Form 5500</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670,032,846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601,037,728</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net assets available for benefits prior to transfer</w:t>
            </w:r>
          </w:p>
        </w:tc>
        <w:tc>
          <w:tcPr>
            <w:tcW w:w="1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69,380,745</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Amounts deemed distributed for tax purposes — 2024</w:t>
            </w:r>
          </w:p>
        </w:tc>
        <w:tc>
          <w:tcPr>
            <w:tcW w:w="16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1,438,970</w:t>
            </w:r>
          </w:p>
        </w:tc>
      </w:tr>
      <w:tr>
        <w:trPr>
          <w:trHeight w:val="229"/>
        </w:trPr>
        <w:tc>
          <w:tcPr>
            <w:tcW w:w="6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Amounts deemed distributed for tax purposes — 2025</w:t>
            </w:r>
          </w:p>
        </w:tc>
        <w:tc>
          <w:tcPr>
            <w:tcW w:w="16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(1,754,752)</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pursuant to Form 5500</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69,064,963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subsequent events were identified through June 24, 2026, the date these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ITT RETIREMENT SAVINGS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5500, SCHEDULE H, PART IV, LINE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120" w:type="dxa"/>
            <w:vAlign w:val="bottom"/>
          </w:tcPr>
          <w:p>
            <w:pPr>
              <w:spacing w:after="0"/>
              <w:rPr>
                <w:sz w:val="21"/>
                <w:szCs w:val="21"/>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ITT Retirement Savings Plan, EIN 81-1197930, Plan No. 004</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Identity of Issuer</w:t>
            </w:r>
          </w:p>
        </w:tc>
        <w:tc>
          <w:tcPr>
            <w:tcW w:w="55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Description of Investment</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Current Value</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 P. Morgan Chase Bank</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JPMCB US SmartIndex</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107,826,089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Target Ret 2030 SL CL V</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67,115,897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State St Target Ret 2025 SL CL V</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54,102,499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Target Ret 2035 SL CL V</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52,148,825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State St Target Ret Income SL CL V</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42,117,525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Franklin Templeton Investments</w:t>
            </w:r>
          </w:p>
        </w:tc>
        <w:tc>
          <w:tcPr>
            <w:tcW w:w="5540" w:type="dxa"/>
            <w:vAlign w:val="bottom"/>
          </w:tcPr>
          <w:p>
            <w:pPr>
              <w:ind w:left="1140"/>
              <w:spacing w:after="0"/>
              <w:rPr>
                <w:sz w:val="20"/>
                <w:szCs w:val="20"/>
                <w:color w:val="auto"/>
              </w:rPr>
            </w:pPr>
            <w:r>
              <w:rPr>
                <w:rFonts w:ascii="Arial" w:cs="Arial" w:eastAsia="Arial" w:hAnsi="Arial"/>
                <w:sz w:val="18"/>
                <w:szCs w:val="18"/>
                <w:color w:val="auto"/>
              </w:rPr>
              <w:t>Putnam Stable Value Fund</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38,624,782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State St Target Ret 2040 SL CL V</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31,882,767</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Target Ret 2050 SL CL V</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28,476,934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State St Target Ret 2045 SL CL V</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23,939,283</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S&amp;P 500 Index SL CL II</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18,167,607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Global Investors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Mid-Cap Equity Fund</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10,063,077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Target Ret 2055 SL CL V</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6,773,160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State St Target Ret 2060 SL CL V</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4,741,686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State Street Global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State St Target Ret 2065 SL CL V</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2,776,151</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Columbia Threadneedle Investments</w:t>
            </w:r>
          </w:p>
        </w:tc>
        <w:tc>
          <w:tcPr>
            <w:tcW w:w="55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Columbia Trust Dividend Income Fund Cap</w:t>
            </w:r>
          </w:p>
        </w:tc>
        <w:tc>
          <w:tcPr>
            <w:tcW w:w="1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556,369</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collective trust funds</w:t>
            </w:r>
          </w:p>
        </w:tc>
        <w:tc>
          <w:tcPr>
            <w:tcW w:w="5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489,312,651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Vanguard</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Vanguard Total Bond Market Index Instl</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31,299,964</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Vanguard</w:t>
            </w:r>
          </w:p>
        </w:tc>
        <w:tc>
          <w:tcPr>
            <w:tcW w:w="5540" w:type="dxa"/>
            <w:vAlign w:val="bottom"/>
          </w:tcPr>
          <w:p>
            <w:pPr>
              <w:ind w:left="1140"/>
              <w:spacing w:after="0"/>
              <w:rPr>
                <w:sz w:val="20"/>
                <w:szCs w:val="20"/>
                <w:color w:val="auto"/>
              </w:rPr>
            </w:pPr>
            <w:r>
              <w:rPr>
                <w:rFonts w:ascii="Arial" w:cs="Arial" w:eastAsia="Arial" w:hAnsi="Arial"/>
                <w:sz w:val="18"/>
                <w:szCs w:val="18"/>
                <w:color w:val="auto"/>
              </w:rPr>
              <w:t>Vanguard Total Intl Stock Index Instl</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28,005,064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American Funds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American Funds New Perspective - R6</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19,777,650</w:t>
            </w:r>
          </w:p>
        </w:tc>
        <w:tc>
          <w:tcPr>
            <w:tcW w:w="0" w:type="dxa"/>
            <w:vAlign w:val="bottom"/>
          </w:tcPr>
          <w:p>
            <w:pPr>
              <w:spacing w:after="0"/>
              <w:rPr>
                <w:sz w:val="1"/>
                <w:szCs w:val="1"/>
                <w:color w:val="auto"/>
              </w:rPr>
            </w:pPr>
          </w:p>
        </w:tc>
      </w:t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Vanguard</w:t>
            </w:r>
          </w:p>
        </w:tc>
        <w:tc>
          <w:tcPr>
            <w:tcW w:w="5540" w:type="dxa"/>
            <w:vAlign w:val="bottom"/>
          </w:tcPr>
          <w:p>
            <w:pPr>
              <w:ind w:left="1140"/>
              <w:spacing w:after="0"/>
              <w:rPr>
                <w:sz w:val="20"/>
                <w:szCs w:val="20"/>
                <w:color w:val="auto"/>
              </w:rPr>
            </w:pPr>
            <w:r>
              <w:rPr>
                <w:rFonts w:ascii="Arial" w:cs="Arial" w:eastAsia="Arial" w:hAnsi="Arial"/>
                <w:sz w:val="18"/>
                <w:szCs w:val="18"/>
                <w:color w:val="auto"/>
              </w:rPr>
              <w:t>Vanguard Extended Market IDX Instl</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17,654,564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Baird</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Baird Aggregate Bond Inst</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16,170,295</w:t>
            </w:r>
          </w:p>
        </w:tc>
        <w:tc>
          <w:tcPr>
            <w:tcW w:w="0" w:type="dxa"/>
            <w:vAlign w:val="bottom"/>
          </w:tcPr>
          <w:p>
            <w:pPr>
              <w:spacing w:after="0"/>
              <w:rPr>
                <w:sz w:val="1"/>
                <w:szCs w:val="1"/>
                <w:color w:val="auto"/>
              </w:rPr>
            </w:pPr>
          </w:p>
        </w:tc>
      </w:tr>
      <w:tr>
        <w:trPr>
          <w:trHeight w:val="229"/>
        </w:trPr>
        <w:tc>
          <w:tcPr>
            <w:tcW w:w="3120" w:type="dxa"/>
            <w:vAlign w:val="bottom"/>
          </w:tcPr>
          <w:p>
            <w:pPr>
              <w:ind w:left="40"/>
              <w:spacing w:after="0"/>
              <w:rPr>
                <w:sz w:val="20"/>
                <w:szCs w:val="20"/>
                <w:color w:val="auto"/>
              </w:rPr>
            </w:pPr>
            <w:r>
              <w:rPr>
                <w:rFonts w:ascii="Arial" w:cs="Arial" w:eastAsia="Arial" w:hAnsi="Arial"/>
                <w:sz w:val="18"/>
                <w:szCs w:val="18"/>
                <w:color w:val="auto"/>
              </w:rPr>
              <w:t>Dimensional Fund Advisors</w:t>
            </w:r>
          </w:p>
        </w:tc>
        <w:tc>
          <w:tcPr>
            <w:tcW w:w="5540" w:type="dxa"/>
            <w:vAlign w:val="bottom"/>
          </w:tcPr>
          <w:p>
            <w:pPr>
              <w:ind w:left="1140"/>
              <w:spacing w:after="0"/>
              <w:rPr>
                <w:sz w:val="20"/>
                <w:szCs w:val="20"/>
                <w:color w:val="auto"/>
              </w:rPr>
            </w:pPr>
            <w:r>
              <w:rPr>
                <w:rFonts w:ascii="Arial" w:cs="Arial" w:eastAsia="Arial" w:hAnsi="Arial"/>
                <w:sz w:val="18"/>
                <w:szCs w:val="18"/>
                <w:color w:val="auto"/>
              </w:rPr>
              <w:t>DFA U.S. Targeted Value I</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9,143,582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Vanguard</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Vanguard Short Term Inflation Protected Index</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7,947,515</w:t>
            </w:r>
          </w:p>
        </w:tc>
        <w:tc>
          <w:tcPr>
            <w:tcW w:w="0" w:type="dxa"/>
            <w:vAlign w:val="bottom"/>
          </w:tcPr>
          <w:p>
            <w:pPr>
              <w:spacing w:after="0"/>
              <w:rPr>
                <w:sz w:val="1"/>
                <w:szCs w:val="1"/>
                <w:color w:val="auto"/>
              </w:rPr>
            </w:pPr>
          </w:p>
        </w:tc>
      </w:t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American Funds</w:t>
            </w:r>
          </w:p>
        </w:tc>
        <w:tc>
          <w:tcPr>
            <w:tcW w:w="5540" w:type="dxa"/>
            <w:vAlign w:val="bottom"/>
          </w:tcPr>
          <w:p>
            <w:pPr>
              <w:ind w:left="1140"/>
              <w:spacing w:after="0"/>
              <w:rPr>
                <w:sz w:val="20"/>
                <w:szCs w:val="20"/>
                <w:color w:val="auto"/>
              </w:rPr>
            </w:pPr>
            <w:r>
              <w:rPr>
                <w:rFonts w:ascii="Arial" w:cs="Arial" w:eastAsia="Arial" w:hAnsi="Arial"/>
                <w:sz w:val="18"/>
                <w:szCs w:val="18"/>
                <w:color w:val="auto"/>
              </w:rPr>
              <w:t>American Funds Europacific Growth - R6</w:t>
            </w:r>
          </w:p>
        </w:tc>
        <w:tc>
          <w:tcPr>
            <w:tcW w:w="1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6,610,019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Loomis Sayles</w:t>
            </w:r>
          </w:p>
        </w:tc>
        <w:tc>
          <w:tcPr>
            <w:tcW w:w="5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Loomis Sayles Small Cap Growth N</w:t>
            </w:r>
          </w:p>
        </w:tc>
        <w:tc>
          <w:tcPr>
            <w:tcW w:w="1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5,864,975</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Dimensional Fund Advisors</w:t>
            </w:r>
          </w:p>
        </w:tc>
        <w:tc>
          <w:tcPr>
            <w:tcW w:w="55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DFA Emerging Markets I</w:t>
            </w: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2,938,611</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registered investment companies (mutual funds)</w:t>
            </w:r>
          </w:p>
        </w:tc>
        <w:tc>
          <w:tcPr>
            <w:tcW w:w="1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145,412,240</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*ITT Common Stock</w:t>
            </w:r>
          </w:p>
        </w:tc>
        <w:tc>
          <w:tcPr>
            <w:tcW w:w="55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ITT Common Stock</w:t>
            </w: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17,616,333</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employer stock</w:t>
            </w:r>
          </w:p>
        </w:tc>
        <w:tc>
          <w:tcPr>
            <w:tcW w:w="5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17,616,333</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*Empower SDB</w:t>
            </w:r>
          </w:p>
        </w:tc>
        <w:tc>
          <w:tcPr>
            <w:tcW w:w="55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Self-directed Brokerage Account</w:t>
            </w: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3,282,723</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self-directed brokerage accounts</w:t>
            </w:r>
          </w:p>
        </w:tc>
        <w:tc>
          <w:tcPr>
            <w:tcW w:w="1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3,282,723</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Empower Annuity Insurance Company</w:t>
            </w:r>
          </w:p>
        </w:tc>
        <w:tc>
          <w:tcPr>
            <w:tcW w:w="554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JP Morgan Large Cap Growth Fund (IS)</w:t>
            </w: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2,672,737</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separate accounts</w:t>
            </w:r>
          </w:p>
        </w:tc>
        <w:tc>
          <w:tcPr>
            <w:tcW w:w="5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2,672,737</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Total investments at fair value</w:t>
            </w:r>
          </w:p>
        </w:tc>
        <w:tc>
          <w:tcPr>
            <w:tcW w:w="5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658,296,684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color w:val="auto"/>
              </w:rPr>
              <w:t>*Notes receivable from participants interest rates from 4.25% to 9.50% maturing at various dates through</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9,853,551</w:t>
            </w:r>
          </w:p>
        </w:tc>
        <w:tc>
          <w:tcPr>
            <w:tcW w:w="0" w:type="dxa"/>
            <w:vAlign w:val="bottom"/>
          </w:tcPr>
          <w:p>
            <w:pPr>
              <w:spacing w:after="0"/>
              <w:rPr>
                <w:sz w:val="1"/>
                <w:szCs w:val="1"/>
                <w:color w:val="auto"/>
              </w:rPr>
            </w:pPr>
          </w:p>
        </w:tc>
      </w:tr>
      <w:tr>
        <w:trPr>
          <w:trHeight w:val="263"/>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2040</w:t>
            </w:r>
          </w:p>
        </w:tc>
        <w:tc>
          <w:tcPr>
            <w:tcW w:w="55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14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5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 party-in-interest.</w:t>
      </w:r>
    </w:p>
    <w:p>
      <w:pPr>
        <w:spacing w:after="0" w:line="27" w:lineRule="exact"/>
        <w:rPr>
          <w:sz w:val="20"/>
          <w:szCs w:val="20"/>
          <w:color w:val="auto"/>
        </w:rPr>
      </w:pPr>
    </w:p>
    <w:p>
      <w:pPr>
        <w:ind w:right="3200" w:firstLine="8"/>
        <w:spacing w:after="0" w:line="548" w:lineRule="auto"/>
        <w:tabs>
          <w:tab w:leader="none" w:pos="39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information is not required for member directed investments and, therefore, is not included. See accompanying 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Benefits Administration Committee has duly caused this annual report to be signed on its behalf by the undersigned hereunto duly authorized.</w:t>
      </w:r>
    </w:p>
    <w:p>
      <w:pPr>
        <w:spacing w:after="0" w:line="315" w:lineRule="exact"/>
        <w:rPr>
          <w:sz w:val="20"/>
          <w:szCs w:val="20"/>
          <w:color w:val="auto"/>
        </w:rPr>
      </w:pPr>
    </w:p>
    <w:p>
      <w:pPr>
        <w:jc w:val="center"/>
        <w:ind w:right="2700"/>
        <w:spacing w:after="0"/>
        <w:rPr>
          <w:sz w:val="20"/>
          <w:szCs w:val="20"/>
          <w:color w:val="auto"/>
        </w:rPr>
      </w:pPr>
      <w:r>
        <w:rPr>
          <w:rFonts w:ascii="Arial" w:cs="Arial" w:eastAsia="Arial" w:hAnsi="Arial"/>
          <w:sz w:val="18"/>
          <w:szCs w:val="18"/>
          <w:color w:val="auto"/>
        </w:rPr>
        <w:t>ITT RETIREMENT SAVINGS PLAN</w:t>
      </w:r>
    </w:p>
    <w:p>
      <w:pPr>
        <w:spacing w:after="0" w:line="32" w:lineRule="exact"/>
        <w:rPr>
          <w:sz w:val="20"/>
          <w:szCs w:val="20"/>
          <w:color w:val="auto"/>
        </w:rPr>
      </w:pPr>
    </w:p>
    <w:p>
      <w:pPr>
        <w:jc w:val="center"/>
        <w:ind w:right="2700"/>
        <w:spacing w:after="0"/>
        <w:rPr>
          <w:sz w:val="20"/>
          <w:szCs w:val="20"/>
          <w:color w:val="auto"/>
        </w:rPr>
      </w:pPr>
      <w:r>
        <w:rPr>
          <w:rFonts w:ascii="Arial" w:cs="Arial" w:eastAsia="Arial" w:hAnsi="Arial"/>
          <w:sz w:val="18"/>
          <w:szCs w:val="18"/>
          <w:color w:val="auto"/>
        </w:rPr>
        <w:t>(As Amended and Restated Effective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417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(Name of Plan)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Cheryl de Mesa Graziano</w:t>
            </w:r>
          </w:p>
        </w:tc>
      </w:tr>
      <w:tr>
        <w:trPr>
          <w:trHeight w:val="218"/>
        </w:trPr>
        <w:tc>
          <w:tcPr>
            <w:tcW w:w="62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Cheryl de Mesa Graziano</w:t>
            </w:r>
          </w:p>
        </w:tc>
      </w:tr>
      <w:tr>
        <w:trPr>
          <w:trHeight w:val="181"/>
        </w:trPr>
        <w:tc>
          <w:tcPr>
            <w:tcW w:w="620" w:type="dxa"/>
            <w:vAlign w:val="bottom"/>
          </w:tcPr>
          <w:p>
            <w:pPr>
              <w:spacing w:after="0"/>
              <w:rPr>
                <w:sz w:val="15"/>
                <w:szCs w:val="15"/>
                <w:color w:val="auto"/>
              </w:rPr>
            </w:pPr>
          </w:p>
        </w:tc>
        <w:tc>
          <w:tcPr>
            <w:tcW w:w="2960" w:type="dxa"/>
            <w:vAlign w:val="bottom"/>
          </w:tcPr>
          <w:p>
            <w:pPr>
              <w:ind w:left="20"/>
              <w:spacing w:after="0" w:line="181" w:lineRule="exact"/>
              <w:rPr>
                <w:sz w:val="20"/>
                <w:szCs w:val="20"/>
                <w:color w:val="auto"/>
              </w:rPr>
            </w:pPr>
            <w:r>
              <w:rPr>
                <w:rFonts w:ascii="Arial" w:cs="Arial" w:eastAsia="Arial" w:hAnsi="Arial"/>
                <w:sz w:val="18"/>
                <w:szCs w:val="18"/>
                <w:color w:val="auto"/>
              </w:rPr>
              <w:t>Vice President and</w:t>
            </w:r>
          </w:p>
        </w:tc>
      </w:tr>
      <w:tr>
        <w:trPr>
          <w:trHeight w:val="238"/>
        </w:trPr>
        <w:tc>
          <w:tcPr>
            <w:tcW w:w="6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9"/>
        </w:trPr>
        <w:tc>
          <w:tcPr>
            <w:tcW w:w="6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June 24,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EXHIBIT INDEX</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jc w:val="center"/>
              <w:ind w:right="22"/>
              <w:spacing w:after="0"/>
              <w:rPr>
                <w:sz w:val="20"/>
                <w:szCs w:val="20"/>
                <w:color w:val="auto"/>
              </w:rPr>
            </w:pPr>
            <w:r>
              <w:rPr>
                <w:rFonts w:ascii="Arial" w:cs="Arial" w:eastAsia="Arial" w:hAnsi="Arial"/>
                <w:sz w:val="14"/>
                <w:szCs w:val="14"/>
                <w:b w:val="1"/>
                <w:bCs w:val="1"/>
                <w:color w:val="auto"/>
              </w:rPr>
              <w:t>EXHIBIT</w:t>
            </w:r>
          </w:p>
        </w:tc>
        <w:tc>
          <w:tcPr>
            <w:tcW w:w="10020" w:type="dxa"/>
            <w:vAlign w:val="bottom"/>
            <w:gridSpan w:val="2"/>
            <w:vMerge w:val="restart"/>
          </w:tcPr>
          <w:p>
            <w:pPr>
              <w:ind w:left="4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NUMBER</w:t>
            </w:r>
          </w:p>
        </w:tc>
        <w:tc>
          <w:tcPr>
            <w:tcW w:w="10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right"/>
              <w:ind w:right="522"/>
              <w:spacing w:after="0"/>
              <w:rPr>
                <w:sz w:val="20"/>
                <w:szCs w:val="20"/>
                <w:color w:val="auto"/>
              </w:rPr>
            </w:pPr>
            <w:r>
              <w:rPr>
                <w:rFonts w:ascii="Arial" w:cs="Arial" w:eastAsia="Arial" w:hAnsi="Arial"/>
                <w:sz w:val="18"/>
                <w:szCs w:val="18"/>
                <w:color w:val="auto"/>
              </w:rPr>
              <w:t>(23.1)</w:t>
            </w:r>
          </w:p>
        </w:tc>
        <w:tc>
          <w:tcPr>
            <w:tcW w:w="47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Consent of Independent Registered Public Accounting Firm</w:t>
            </w: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01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consent to the incorporation by reference in Registration Statement No. 333-177604 on Form S-8 of ITT Inc. of our report dated June 24, 2026 appearing in this Annual Report on Form 11-K of the ITT Retirement Savings Plan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Crowe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2026-06-24T17:20:04Z</dcterms:created>
  <dcterms:modified xsi:type="dcterms:W3CDTF">2026-06-24T17:20:04Z</dcterms:modified>
</cp:coreProperties>
</file>