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MCDONALD REBECCA ANN</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ITT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ITT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vMerge w:val="restart"/>
          </w:tcPr>
          <w:p>
            <w:pPr>
              <w:spacing w:after="0"/>
              <w:rPr>
                <w:sz w:val="13"/>
                <w:szCs w:val="13"/>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6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Borders>
              <w:top w:val="single" w:sz="8" w:color="2C2C2C"/>
            </w:tcBorders>
          </w:tcPr>
          <w:p>
            <w:pPr>
              <w:spacing w:after="0"/>
              <w:rPr>
                <w:sz w:val="2"/>
                <w:szCs w:val="2"/>
                <w:color w:val="auto"/>
              </w:rPr>
            </w:pPr>
          </w:p>
        </w:tc>
        <w:tc>
          <w:tcPr>
            <w:tcW w:w="200" w:type="dxa"/>
            <w:vAlign w:val="bottom"/>
            <w:tcBorders>
              <w:top w:val="single" w:sz="8" w:color="2C2C2C"/>
            </w:tcBorders>
          </w:tcPr>
          <w:p>
            <w:pPr>
              <w:spacing w:after="0"/>
              <w:rPr>
                <w:sz w:val="2"/>
                <w:szCs w:val="2"/>
                <w:color w:val="auto"/>
              </w:rPr>
            </w:pPr>
          </w:p>
        </w:tc>
        <w:tc>
          <w:tcPr>
            <w:tcW w:w="14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180"/>
              <w:spacing w:after="0" w:line="132"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9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ITT INC. .</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gridSpan w:val="6"/>
            <w:vMerge w:val="continue"/>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100 WASHINGTON BLVD. 6TH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7"/>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660" w:type="dxa"/>
            <w:vAlign w:val="bottom"/>
            <w:vMerge w:val="restart"/>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gridSpan w:val="6"/>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92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0" w:type="dxa"/>
            <w:vAlign w:val="bottom"/>
            <w:gridSpan w:val="6"/>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6"/>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3"/>
          </w:tcPr>
          <w:p>
            <w:pPr>
              <w:spacing w:after="0"/>
              <w:rPr>
                <w:sz w:val="10"/>
                <w:szCs w:val="10"/>
                <w:color w:val="auto"/>
              </w:rPr>
            </w:pPr>
          </w:p>
        </w:tc>
        <w:tc>
          <w:tcPr>
            <w:tcW w:w="294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5"/>
                <w:szCs w:val="15"/>
                <w:color w:val="auto"/>
              </w:rPr>
            </w:pPr>
          </w:p>
        </w:tc>
        <w:tc>
          <w:tcPr>
            <w:tcW w:w="1320" w:type="dxa"/>
            <w:vAlign w:val="bottom"/>
            <w:gridSpan w:val="5"/>
          </w:tcPr>
          <w:p>
            <w:pPr>
              <w:ind w:left="2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5"/>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jc w:val="right"/>
              <w:ind w:right="120"/>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ind w:left="88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935</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80" w:type="dxa"/>
            <w:vAlign w:val="bottom"/>
            <w:tcBorders>
              <w:bottom w:val="single" w:sz="8" w:color="2C2C2C"/>
            </w:tcBorders>
            <w:gridSpan w:val="3"/>
          </w:tcPr>
          <w:p>
            <w:pPr>
              <w:ind w:left="260"/>
              <w:spacing w:after="0"/>
              <w:rPr>
                <w:sz w:val="20"/>
                <w:szCs w:val="20"/>
                <w:color w:val="auto"/>
              </w:rPr>
            </w:pPr>
            <w:r>
              <w:rPr>
                <w:rFonts w:ascii="Times New Roman" w:cs="Times New Roman" w:eastAsia="Times New Roman" w:hAnsi="Times New Roman"/>
                <w:sz w:val="17"/>
                <w:szCs w:val="17"/>
                <w:color w:val="0000FF"/>
              </w:rPr>
              <w:t>25,202.87</w:t>
            </w:r>
            <w:r>
              <w:rPr>
                <w:rFonts w:ascii="Times New Roman" w:cs="Times New Roman" w:eastAsia="Times New Roman" w:hAnsi="Times New Roman"/>
                <w:sz w:val="22"/>
                <w:szCs w:val="22"/>
                <w:color w:val="008000"/>
                <w:vertAlign w:val="superscript"/>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20" w:type="dxa"/>
            <w:vAlign w:val="bottom"/>
            <w:gridSpan w:val="15"/>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filed by the Reporting Person on May 26, 2026 inadvertantly underreported the number of restricted stock units that were awarded on May 21, 2026, as described in the original Form 4. The amount reported herein corrects the number of restricted stock units that were awarded on May 21, 2026 and the resulting total number of shares beneficially owned by the Reporting Person following such transaction.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627.870 shares under a dividend reinvestment plan.</w:t>
      </w:r>
    </w:p>
    <w:p>
      <w:pPr>
        <w:sectPr>
          <w:pgSz w:w="11900" w:h="16838" w:orient="portrait"/>
          <w:cols w:equalWidth="0" w:num="1">
            <w:col w:w="11080"/>
          </w:cols>
          <w:pgMar w:left="460" w:top="219" w:right="359" w:bottom="1440" w:gutter="0" w:footer="0" w:header="0"/>
          <w:type w:val="continuous"/>
        </w:sectPr>
      </w:pP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Tymour Okasha,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4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Secretary, ITT Inc.,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03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 for Rebecca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61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05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185110" TargetMode="External"/><Relationship Id="rId14" Type="http://schemas.openxmlformats.org/officeDocument/2006/relationships/hyperlink" Target="http://www.sec.gov/cgi-bin/browse-edgar?action=getcompany&amp;CIK=0000216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2026-06-03T17:22:45Z</dcterms:created>
  <dcterms:modified xsi:type="dcterms:W3CDTF">2026-06-03T17:22:45Z</dcterms:modified>
</cp:coreProperties>
</file>