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4432" w:type="dxa"/>
        <w:jc w:val="left"/>
        <w:tblInd w:w="0" w:type="dxa"/>
        <w:tblLayout w:type="fixed"/>
        <w:tblCellMar>
          <w:top w:w="28" w:type="dxa"/>
          <w:left w:w="28" w:type="dxa"/>
          <w:bottom w:w="28" w:type="dxa"/>
          <w:right w:w="28" w:type="dxa"/>
        </w:tblCellMar>
      </w:tblPr>
      <w:tblGrid>
        <w:gridCol w:w="765"/>
        <w:gridCol w:w="672"/>
        <w:gridCol w:w="674"/>
        <w:gridCol w:w="109"/>
        <w:gridCol w:w="109"/>
        <w:gridCol w:w="109"/>
        <w:gridCol w:w="584"/>
        <w:gridCol w:w="584"/>
        <w:gridCol w:w="826"/>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211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76350" cy="857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76350" cy="8572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Inc.</w:t>
              <w:br/>
              <w:t>100 Washington Blvd</w:t>
              <w:br/>
              <w:t>6th Floor</w:t>
              <w:br/>
              <w:t>Stamford, CT 06902</w:t>
              <w:br/>
              <w:t xml:space="preserve">(914) 641-2000 </w:t>
            </w:r>
          </w:p>
        </w:tc>
      </w:tr>
    </w:tbl>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August 6, 2026</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US Securities and Exchange Commission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100 F Street, N.E.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Washington, D.C. 20594 </w:t>
      </w:r>
    </w:p>
    <w:p>
      <w:pPr>
        <w:pStyle w:val="TextBody"/>
        <w:bidi w:val="0"/>
        <w:spacing w:lineRule="auto" w:line="288" w:before="540" w:after="283"/>
        <w:jc w:val="both"/>
        <w:rPr>
          <w:rFonts w:ascii="Arial;sans-serif" w:hAnsi="Arial;sans-serif"/>
          <w:b w:val="false"/>
          <w:color w:val="000000"/>
          <w:sz w:val="20"/>
        </w:rPr>
      </w:pPr>
      <w:r>
        <w:rPr>
          <w:rFonts w:ascii="Arial;sans-serif" w:hAnsi="Arial;sans-serif"/>
          <w:b w:val="false"/>
          <w:color w:val="000000"/>
          <w:sz w:val="20"/>
        </w:rPr>
        <w:t xml:space="preserve">Re: Notice of disclosure filed in Exchange Act Quarterly Report under Section 219 of the Iran Threat Reduction and Syria Human Rights Act of 2012 and Section 13(r) of the Exchange Act </w:t>
      </w:r>
    </w:p>
    <w:p>
      <w:pPr>
        <w:pStyle w:val="TextBody"/>
        <w:bidi w:val="0"/>
        <w:spacing w:lineRule="auto" w:line="288" w:before="540" w:after="283"/>
        <w:jc w:val="left"/>
        <w:rPr>
          <w:rFonts w:ascii="Arial;sans-serif" w:hAnsi="Arial;sans-serif"/>
          <w:b w:val="false"/>
          <w:color w:val="000000"/>
          <w:sz w:val="20"/>
        </w:rPr>
      </w:pPr>
      <w:r>
        <w:rPr>
          <w:rFonts w:ascii="Arial;sans-serif" w:hAnsi="Arial;sans-serif"/>
          <w:b w:val="false"/>
          <w:color w:val="000000"/>
          <w:sz w:val="20"/>
        </w:rPr>
        <w:t xml:space="preserve">Dear Sir or Madam: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Pursuant to Section 219 of the Iran Threat Reduction and Syria Human Rights Act of 2012 and Section 13(r) of the Securities Exchange Act of 1934, as amended, notice is hereby provided that ITT Inc. has made disclosure pursuant to those provisions in its Quarterly Report on Form 10-Q for the quarter ended July 4, 2026, which was filed with the Securities and Exchange Commission on August 6, 2026. </w:t>
      </w:r>
    </w:p>
    <w:p>
      <w:pPr>
        <w:pStyle w:val="TextBody"/>
        <w:bidi w:val="0"/>
        <w:spacing w:lineRule="auto" w:line="288" w:before="540" w:after="283"/>
        <w:jc w:val="left"/>
        <w:rPr>
          <w:rFonts w:ascii="Arial;sans-serif" w:hAnsi="Arial;sans-serif"/>
          <w:b w:val="false"/>
          <w:color w:val="000000"/>
          <w:sz w:val="20"/>
        </w:rPr>
      </w:pPr>
      <w:r>
        <w:rPr>
          <w:rFonts w:ascii="Arial;sans-serif" w:hAnsi="Arial;sans-serif"/>
          <w:b w:val="false"/>
          <w:color w:val="000000"/>
          <w:sz w:val="20"/>
        </w:rPr>
        <w:t xml:space="preserve">Respectfully submitted,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ITT Inc. </w:t>
      </w:r>
    </w:p>
    <w:p>
      <w:pPr>
        <w:pStyle w:val="TextBody"/>
        <w:bidi w:val="0"/>
        <w:spacing w:lineRule="auto" w:line="288" w:before="0" w:after="0"/>
        <w:jc w:val="left"/>
        <w:rPr>
          <w:color w:val="000000"/>
        </w:rPr>
      </w:pPr>
      <w:r>
        <w:rPr>
          <w:color w:val="000000"/>
        </w:rPr>
        <w:t> </w:t>
      </w:r>
    </w:p>
    <w:tbl>
      <w:tblPr>
        <w:tblW w:w="7364" w:type="dxa"/>
        <w:jc w:val="left"/>
        <w:tblInd w:w="0" w:type="dxa"/>
        <w:tblLayout w:type="fixed"/>
        <w:tblCellMar>
          <w:top w:w="28" w:type="dxa"/>
          <w:left w:w="28" w:type="dxa"/>
          <w:bottom w:w="28" w:type="dxa"/>
          <w:right w:w="28" w:type="dxa"/>
        </w:tblCellMar>
      </w:tblPr>
      <w:tblGrid>
        <w:gridCol w:w="2164"/>
        <w:gridCol w:w="1909"/>
        <w:gridCol w:w="1916"/>
        <w:gridCol w:w="403"/>
        <w:gridCol w:w="403"/>
        <w:gridCol w:w="569"/>
      </w:tblGrid>
      <w:tr>
        <w:trPr/>
        <w:tc>
          <w:tcPr>
            <w:tcW w:w="2164"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5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Lori B. Marino</w:t>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Lori B. Marino</w:t>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Chief Legal Officer, Chief Compliance Officer and Secretary</w:t>
            </w:r>
          </w:p>
        </w:tc>
      </w:tr>
    </w:tbl>
    <w:p>
      <w:pPr>
        <w:pStyle w:val="TextBody"/>
        <w:bidi w:val="0"/>
        <w:spacing w:before="0" w:after="20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154</Words>
  <Characters>766</Characters>
  <CharactersWithSpaces>917</CharactersWithSpaces>
  <Paragraphs>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